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6C94F0" w14:textId="77777777" w:rsidR="00B66664" w:rsidRDefault="00B66664">
      <w:pPr>
        <w:adjustRightInd w:val="0"/>
        <w:snapToGrid w:val="0"/>
        <w:spacing w:line="360" w:lineRule="auto"/>
        <w:ind w:firstLineChars="0" w:firstLine="0"/>
        <w:rPr>
          <w:sz w:val="24"/>
        </w:rPr>
      </w:pPr>
    </w:p>
    <w:p w14:paraId="439AA0DE" w14:textId="77777777" w:rsidR="00B66664" w:rsidRDefault="00B66664">
      <w:pPr>
        <w:adjustRightInd w:val="0"/>
        <w:snapToGrid w:val="0"/>
        <w:spacing w:line="360" w:lineRule="auto"/>
        <w:ind w:firstLineChars="0" w:firstLine="0"/>
        <w:rPr>
          <w:sz w:val="24"/>
        </w:rPr>
      </w:pPr>
    </w:p>
    <w:p w14:paraId="1E1A2AC9" w14:textId="77777777" w:rsidR="00B66664" w:rsidRDefault="00B66664">
      <w:pPr>
        <w:adjustRightInd w:val="0"/>
        <w:snapToGrid w:val="0"/>
        <w:spacing w:line="360" w:lineRule="auto"/>
        <w:ind w:firstLineChars="0" w:firstLine="0"/>
        <w:rPr>
          <w:sz w:val="24"/>
        </w:rPr>
      </w:pPr>
    </w:p>
    <w:p w14:paraId="6CE81518" w14:textId="77777777" w:rsidR="00B66664" w:rsidRDefault="00264D9A">
      <w:pPr>
        <w:adjustRightInd w:val="0"/>
        <w:snapToGrid w:val="0"/>
        <w:spacing w:beforeLines="200" w:before="624" w:line="480" w:lineRule="auto"/>
        <w:ind w:firstLineChars="0" w:firstLine="0"/>
        <w:jc w:val="center"/>
        <w:rPr>
          <w:b/>
          <w:sz w:val="72"/>
          <w:szCs w:val="72"/>
        </w:rPr>
      </w:pPr>
      <w:r>
        <w:rPr>
          <w:rFonts w:hint="eastAsia"/>
          <w:b/>
          <w:sz w:val="72"/>
          <w:szCs w:val="72"/>
        </w:rPr>
        <w:t>国家</w:t>
      </w:r>
      <w:r>
        <w:rPr>
          <w:b/>
          <w:sz w:val="72"/>
          <w:szCs w:val="72"/>
        </w:rPr>
        <w:t>标准编制说明</w:t>
      </w:r>
    </w:p>
    <w:p w14:paraId="1E7E1CC7" w14:textId="77777777" w:rsidR="00B66664" w:rsidRDefault="00B66664">
      <w:pPr>
        <w:adjustRightInd w:val="0"/>
        <w:snapToGrid w:val="0"/>
        <w:spacing w:line="360" w:lineRule="auto"/>
        <w:ind w:firstLineChars="0" w:firstLine="0"/>
        <w:rPr>
          <w:sz w:val="24"/>
        </w:rPr>
      </w:pPr>
    </w:p>
    <w:p w14:paraId="6722B6DD" w14:textId="77777777" w:rsidR="00B66664" w:rsidRDefault="00264D9A">
      <w:pPr>
        <w:adjustRightInd w:val="0"/>
        <w:snapToGrid w:val="0"/>
        <w:spacing w:line="360" w:lineRule="auto"/>
        <w:ind w:firstLineChars="0" w:firstLine="0"/>
        <w:jc w:val="center"/>
        <w:rPr>
          <w:b/>
          <w:sz w:val="44"/>
          <w:szCs w:val="44"/>
        </w:rPr>
      </w:pPr>
      <w:r>
        <w:rPr>
          <w:rFonts w:hint="eastAsia"/>
          <w:b/>
          <w:sz w:val="44"/>
          <w:szCs w:val="44"/>
        </w:rPr>
        <w:t>肥料中植物生长调节剂的测定</w:t>
      </w:r>
    </w:p>
    <w:p w14:paraId="39CE1B72" w14:textId="77777777" w:rsidR="00B66664" w:rsidRDefault="00264D9A">
      <w:pPr>
        <w:adjustRightInd w:val="0"/>
        <w:snapToGrid w:val="0"/>
        <w:spacing w:line="360" w:lineRule="auto"/>
        <w:ind w:firstLineChars="0" w:firstLine="0"/>
        <w:jc w:val="center"/>
        <w:rPr>
          <w:b/>
          <w:sz w:val="44"/>
          <w:szCs w:val="44"/>
        </w:rPr>
      </w:pPr>
      <w:r>
        <w:rPr>
          <w:rFonts w:hint="eastAsia"/>
          <w:b/>
          <w:sz w:val="44"/>
          <w:szCs w:val="44"/>
        </w:rPr>
        <w:t>气相色谱法</w:t>
      </w:r>
    </w:p>
    <w:p w14:paraId="32FFB21E" w14:textId="77777777" w:rsidR="00B66664" w:rsidRDefault="00264D9A">
      <w:pPr>
        <w:adjustRightInd w:val="0"/>
        <w:snapToGrid w:val="0"/>
        <w:spacing w:line="360" w:lineRule="auto"/>
        <w:ind w:firstLineChars="0" w:firstLine="0"/>
        <w:jc w:val="center"/>
        <w:rPr>
          <w:b/>
          <w:sz w:val="24"/>
        </w:rPr>
      </w:pPr>
      <w:r>
        <w:rPr>
          <w:rFonts w:hint="eastAsia"/>
          <w:b/>
          <w:sz w:val="24"/>
        </w:rPr>
        <w:t>(</w:t>
      </w:r>
      <w:r>
        <w:rPr>
          <w:rFonts w:hint="eastAsia"/>
          <w:b/>
          <w:sz w:val="24"/>
        </w:rPr>
        <w:t>征求意见稿</w:t>
      </w:r>
      <w:r>
        <w:rPr>
          <w:rFonts w:hint="eastAsia"/>
          <w:b/>
          <w:sz w:val="24"/>
        </w:rPr>
        <w:t>)</w:t>
      </w:r>
    </w:p>
    <w:p w14:paraId="1660EA3D" w14:textId="77777777" w:rsidR="00B66664" w:rsidRDefault="00264D9A">
      <w:pPr>
        <w:tabs>
          <w:tab w:val="left" w:pos="2700"/>
        </w:tabs>
        <w:adjustRightInd w:val="0"/>
        <w:snapToGrid w:val="0"/>
        <w:spacing w:line="360" w:lineRule="auto"/>
        <w:ind w:firstLineChars="0" w:firstLine="0"/>
        <w:rPr>
          <w:sz w:val="24"/>
        </w:rPr>
      </w:pPr>
      <w:r>
        <w:rPr>
          <w:sz w:val="24"/>
        </w:rPr>
        <w:tab/>
      </w:r>
    </w:p>
    <w:p w14:paraId="1F06E8A0" w14:textId="77777777" w:rsidR="00B66664" w:rsidRDefault="00B66664">
      <w:pPr>
        <w:tabs>
          <w:tab w:val="left" w:pos="2700"/>
        </w:tabs>
        <w:adjustRightInd w:val="0"/>
        <w:snapToGrid w:val="0"/>
        <w:spacing w:line="360" w:lineRule="auto"/>
        <w:ind w:firstLineChars="0" w:firstLine="0"/>
        <w:rPr>
          <w:sz w:val="24"/>
        </w:rPr>
      </w:pPr>
    </w:p>
    <w:p w14:paraId="6716FA05" w14:textId="77777777" w:rsidR="00B66664" w:rsidRDefault="00B66664">
      <w:pPr>
        <w:adjustRightInd w:val="0"/>
        <w:snapToGrid w:val="0"/>
        <w:spacing w:line="360" w:lineRule="auto"/>
        <w:ind w:firstLineChars="0" w:firstLine="0"/>
        <w:rPr>
          <w:sz w:val="24"/>
        </w:rPr>
      </w:pPr>
    </w:p>
    <w:p w14:paraId="77827EFC" w14:textId="77777777" w:rsidR="00B66664" w:rsidRDefault="00B66664">
      <w:pPr>
        <w:adjustRightInd w:val="0"/>
        <w:snapToGrid w:val="0"/>
        <w:spacing w:line="360" w:lineRule="auto"/>
        <w:ind w:firstLineChars="0" w:firstLine="0"/>
        <w:jc w:val="center"/>
        <w:rPr>
          <w:sz w:val="24"/>
        </w:rPr>
      </w:pPr>
    </w:p>
    <w:p w14:paraId="644E7C56" w14:textId="77777777" w:rsidR="00B66664" w:rsidRDefault="00B66664">
      <w:pPr>
        <w:adjustRightInd w:val="0"/>
        <w:snapToGrid w:val="0"/>
        <w:spacing w:line="360" w:lineRule="auto"/>
        <w:ind w:firstLineChars="0" w:firstLine="0"/>
        <w:jc w:val="center"/>
        <w:rPr>
          <w:sz w:val="24"/>
        </w:rPr>
      </w:pPr>
    </w:p>
    <w:p w14:paraId="3204D393" w14:textId="77777777" w:rsidR="00B66664" w:rsidRDefault="00B66664">
      <w:pPr>
        <w:adjustRightInd w:val="0"/>
        <w:snapToGrid w:val="0"/>
        <w:spacing w:line="360" w:lineRule="auto"/>
        <w:ind w:firstLineChars="0" w:firstLine="0"/>
        <w:jc w:val="center"/>
        <w:rPr>
          <w:sz w:val="24"/>
        </w:rPr>
      </w:pPr>
    </w:p>
    <w:p w14:paraId="7E356A31" w14:textId="77777777" w:rsidR="00B66664" w:rsidRDefault="00B66664">
      <w:pPr>
        <w:adjustRightInd w:val="0"/>
        <w:snapToGrid w:val="0"/>
        <w:spacing w:line="360" w:lineRule="auto"/>
        <w:ind w:firstLineChars="0" w:firstLine="0"/>
        <w:jc w:val="center"/>
        <w:rPr>
          <w:sz w:val="24"/>
        </w:rPr>
      </w:pPr>
    </w:p>
    <w:p w14:paraId="6237D80E" w14:textId="77777777" w:rsidR="00B66664" w:rsidRDefault="00B66664">
      <w:pPr>
        <w:adjustRightInd w:val="0"/>
        <w:snapToGrid w:val="0"/>
        <w:spacing w:line="360" w:lineRule="auto"/>
        <w:ind w:firstLineChars="0" w:firstLine="0"/>
        <w:jc w:val="center"/>
        <w:rPr>
          <w:sz w:val="24"/>
        </w:rPr>
      </w:pPr>
    </w:p>
    <w:p w14:paraId="13686D7A" w14:textId="77777777" w:rsidR="00B66664" w:rsidRDefault="00B66664">
      <w:pPr>
        <w:adjustRightInd w:val="0"/>
        <w:snapToGrid w:val="0"/>
        <w:spacing w:line="360" w:lineRule="auto"/>
        <w:ind w:firstLineChars="0" w:firstLine="0"/>
        <w:jc w:val="center"/>
        <w:rPr>
          <w:sz w:val="24"/>
        </w:rPr>
      </w:pPr>
    </w:p>
    <w:p w14:paraId="283C9360" w14:textId="77777777" w:rsidR="00B66664" w:rsidRDefault="00B66664">
      <w:pPr>
        <w:adjustRightInd w:val="0"/>
        <w:snapToGrid w:val="0"/>
        <w:spacing w:line="360" w:lineRule="auto"/>
        <w:ind w:firstLineChars="0" w:firstLine="0"/>
        <w:jc w:val="center"/>
        <w:rPr>
          <w:sz w:val="24"/>
        </w:rPr>
      </w:pPr>
    </w:p>
    <w:p w14:paraId="36EE8A3D" w14:textId="77777777" w:rsidR="00B66664" w:rsidRDefault="00B66664">
      <w:pPr>
        <w:adjustRightInd w:val="0"/>
        <w:snapToGrid w:val="0"/>
        <w:spacing w:line="360" w:lineRule="auto"/>
        <w:ind w:firstLineChars="0" w:firstLine="0"/>
        <w:jc w:val="center"/>
        <w:rPr>
          <w:sz w:val="36"/>
          <w:szCs w:val="36"/>
        </w:rPr>
      </w:pPr>
    </w:p>
    <w:p w14:paraId="783A211F" w14:textId="77777777" w:rsidR="00B66664" w:rsidRDefault="00264D9A">
      <w:pPr>
        <w:adjustRightInd w:val="0"/>
        <w:snapToGrid w:val="0"/>
        <w:spacing w:line="360" w:lineRule="auto"/>
        <w:ind w:firstLineChars="0" w:firstLine="0"/>
        <w:jc w:val="center"/>
        <w:rPr>
          <w:b/>
          <w:sz w:val="36"/>
          <w:szCs w:val="36"/>
        </w:rPr>
      </w:pPr>
      <w:r>
        <w:rPr>
          <w:b/>
          <w:sz w:val="36"/>
          <w:szCs w:val="36"/>
        </w:rPr>
        <w:t>山东省产品质量检验研究院</w:t>
      </w:r>
    </w:p>
    <w:p w14:paraId="69158FBB" w14:textId="77777777" w:rsidR="00B66664" w:rsidRDefault="00264D9A">
      <w:pPr>
        <w:adjustRightInd w:val="0"/>
        <w:snapToGrid w:val="0"/>
        <w:spacing w:line="360" w:lineRule="auto"/>
        <w:ind w:firstLineChars="0" w:firstLine="0"/>
        <w:jc w:val="center"/>
        <w:rPr>
          <w:b/>
          <w:sz w:val="36"/>
          <w:szCs w:val="36"/>
        </w:rPr>
      </w:pPr>
      <w:r>
        <w:rPr>
          <w:b/>
          <w:sz w:val="36"/>
          <w:szCs w:val="36"/>
        </w:rPr>
        <w:t>二</w:t>
      </w:r>
      <w:r>
        <w:rPr>
          <w:rFonts w:hint="eastAsia"/>
          <w:b/>
          <w:sz w:val="36"/>
          <w:szCs w:val="36"/>
        </w:rPr>
        <w:t>〇</w:t>
      </w:r>
      <w:r>
        <w:rPr>
          <w:b/>
          <w:sz w:val="36"/>
          <w:szCs w:val="36"/>
        </w:rPr>
        <w:t>二</w:t>
      </w:r>
      <w:r>
        <w:rPr>
          <w:rFonts w:hint="eastAsia"/>
          <w:b/>
          <w:sz w:val="36"/>
          <w:szCs w:val="36"/>
        </w:rPr>
        <w:t>〇</w:t>
      </w:r>
      <w:r>
        <w:rPr>
          <w:b/>
          <w:sz w:val="36"/>
          <w:szCs w:val="36"/>
        </w:rPr>
        <w:t>年</w:t>
      </w:r>
      <w:r>
        <w:rPr>
          <w:rFonts w:hint="eastAsia"/>
          <w:b/>
          <w:sz w:val="36"/>
          <w:szCs w:val="36"/>
        </w:rPr>
        <w:t>七</w:t>
      </w:r>
      <w:r>
        <w:rPr>
          <w:b/>
          <w:sz w:val="36"/>
          <w:szCs w:val="36"/>
        </w:rPr>
        <w:t>月</w:t>
      </w:r>
    </w:p>
    <w:p w14:paraId="7B37E14E" w14:textId="77777777" w:rsidR="00B66664" w:rsidRDefault="00264D9A">
      <w:pPr>
        <w:widowControl/>
        <w:ind w:firstLineChars="0" w:firstLine="0"/>
        <w:jc w:val="left"/>
        <w:rPr>
          <w:rFonts w:eastAsia="仿宋_GB2312"/>
          <w:szCs w:val="28"/>
        </w:rPr>
      </w:pPr>
      <w:r>
        <w:rPr>
          <w:rFonts w:eastAsia="仿宋_GB2312"/>
          <w:szCs w:val="28"/>
        </w:rPr>
        <w:br w:type="page"/>
      </w:r>
    </w:p>
    <w:sdt>
      <w:sdtPr>
        <w:rPr>
          <w:lang w:val="zh-CN"/>
        </w:rPr>
        <w:id w:val="5656547"/>
        <w:docPartObj>
          <w:docPartGallery w:val="Table of Contents"/>
          <w:docPartUnique/>
        </w:docPartObj>
      </w:sdtPr>
      <w:sdtEndPr>
        <w:rPr>
          <w:lang w:val="en-US"/>
        </w:rPr>
      </w:sdtEndPr>
      <w:sdtContent>
        <w:p w14:paraId="29CB6E84" w14:textId="77777777" w:rsidR="00B66664" w:rsidRDefault="00264D9A">
          <w:pPr>
            <w:ind w:firstLineChars="0" w:firstLine="0"/>
            <w:jc w:val="center"/>
          </w:pPr>
          <w:r>
            <w:rPr>
              <w:rFonts w:ascii="宋体" w:hAnsi="宋体"/>
              <w:sz w:val="21"/>
            </w:rPr>
            <w:t>目录</w:t>
          </w:r>
        </w:p>
        <w:p w14:paraId="7C5B771F" w14:textId="77777777" w:rsidR="00B66664" w:rsidRDefault="00264D9A">
          <w:pPr>
            <w:pStyle w:val="TOC1"/>
            <w:tabs>
              <w:tab w:val="right" w:leader="dot" w:pos="8278"/>
            </w:tabs>
            <w:ind w:firstLine="560"/>
          </w:pPr>
          <w:r>
            <w:fldChar w:fldCharType="begin"/>
          </w:r>
          <w:r>
            <w:instrText xml:space="preserve"> TOC \o "1-3" \h \z \u </w:instrText>
          </w:r>
          <w:r>
            <w:fldChar w:fldCharType="separate"/>
          </w:r>
          <w:hyperlink w:anchor="_Toc20177" w:history="1">
            <w:r>
              <w:rPr>
                <w:rFonts w:hint="eastAsia"/>
              </w:rPr>
              <w:t>肥料中植物生长调节剂的测定</w:t>
            </w:r>
            <w:r>
              <w:rPr>
                <w:rFonts w:hint="eastAsia"/>
              </w:rPr>
              <w:t xml:space="preserve"> </w:t>
            </w:r>
            <w:r>
              <w:rPr>
                <w:rFonts w:hint="eastAsia"/>
              </w:rPr>
              <w:t>气相色谱法</w:t>
            </w:r>
            <w:r>
              <w:tab/>
            </w:r>
            <w:r>
              <w:fldChar w:fldCharType="begin"/>
            </w:r>
            <w:r>
              <w:instrText xml:space="preserve"> PAGEREF _Toc20177 \h </w:instrText>
            </w:r>
            <w:r>
              <w:fldChar w:fldCharType="separate"/>
            </w:r>
            <w:r>
              <w:t>1</w:t>
            </w:r>
            <w:r>
              <w:fldChar w:fldCharType="end"/>
            </w:r>
          </w:hyperlink>
        </w:p>
        <w:p w14:paraId="5BF5D0CD" w14:textId="77777777" w:rsidR="00B66664" w:rsidRDefault="00264D9A">
          <w:pPr>
            <w:pStyle w:val="TOC1"/>
            <w:tabs>
              <w:tab w:val="right" w:leader="dot" w:pos="8278"/>
            </w:tabs>
            <w:ind w:firstLine="560"/>
          </w:pPr>
          <w:hyperlink w:anchor="_Toc5917" w:history="1">
            <w:r>
              <w:rPr>
                <w:rFonts w:hint="eastAsia"/>
              </w:rPr>
              <w:t>一、制定标准的目的和意义</w:t>
            </w:r>
            <w:r>
              <w:tab/>
            </w:r>
            <w:r>
              <w:fldChar w:fldCharType="begin"/>
            </w:r>
            <w:r>
              <w:instrText xml:space="preserve"> PAGEREF _Toc5917 \h </w:instrText>
            </w:r>
            <w:r>
              <w:fldChar w:fldCharType="separate"/>
            </w:r>
            <w:r>
              <w:t>1</w:t>
            </w:r>
            <w:r>
              <w:fldChar w:fldCharType="end"/>
            </w:r>
          </w:hyperlink>
        </w:p>
        <w:p w14:paraId="00584216" w14:textId="77777777" w:rsidR="00B66664" w:rsidRDefault="00264D9A">
          <w:pPr>
            <w:pStyle w:val="TOC1"/>
            <w:tabs>
              <w:tab w:val="right" w:leader="dot" w:pos="8278"/>
            </w:tabs>
            <w:ind w:firstLine="560"/>
          </w:pPr>
          <w:hyperlink w:anchor="_Toc24467" w:history="1">
            <w:r>
              <w:rPr>
                <w:rFonts w:hint="eastAsia"/>
              </w:rPr>
              <w:t>二、制定标准原则</w:t>
            </w:r>
            <w:r>
              <w:tab/>
            </w:r>
            <w:r>
              <w:fldChar w:fldCharType="begin"/>
            </w:r>
            <w:r>
              <w:instrText xml:space="preserve"> PAGEREF _Toc24467 \h </w:instrText>
            </w:r>
            <w:r>
              <w:fldChar w:fldCharType="separate"/>
            </w:r>
            <w:r>
              <w:t>2</w:t>
            </w:r>
            <w:r>
              <w:fldChar w:fldCharType="end"/>
            </w:r>
          </w:hyperlink>
        </w:p>
        <w:p w14:paraId="54EBF1E6" w14:textId="77777777" w:rsidR="00B66664" w:rsidRDefault="00264D9A">
          <w:pPr>
            <w:pStyle w:val="TOC1"/>
            <w:tabs>
              <w:tab w:val="right" w:leader="dot" w:pos="8278"/>
            </w:tabs>
            <w:ind w:firstLine="560"/>
          </w:pPr>
          <w:hyperlink w:anchor="_Toc2581" w:history="1">
            <w:r>
              <w:rPr>
                <w:rFonts w:hint="eastAsia"/>
              </w:rPr>
              <w:t>三、标准制定的进程</w:t>
            </w:r>
            <w:r>
              <w:tab/>
            </w:r>
            <w:r>
              <w:fldChar w:fldCharType="begin"/>
            </w:r>
            <w:r>
              <w:instrText xml:space="preserve"> PAGEREF _Toc2581 \h </w:instrText>
            </w:r>
            <w:r>
              <w:fldChar w:fldCharType="separate"/>
            </w:r>
            <w:r>
              <w:t>3</w:t>
            </w:r>
            <w:r>
              <w:fldChar w:fldCharType="end"/>
            </w:r>
          </w:hyperlink>
        </w:p>
        <w:p w14:paraId="7AABEF53" w14:textId="77777777" w:rsidR="00B66664" w:rsidRDefault="00264D9A">
          <w:pPr>
            <w:pStyle w:val="TOC1"/>
            <w:tabs>
              <w:tab w:val="right" w:leader="dot" w:pos="8278"/>
            </w:tabs>
            <w:ind w:firstLine="560"/>
          </w:pPr>
          <w:hyperlink w:anchor="_Toc1811" w:history="1">
            <w:r>
              <w:rPr>
                <w:rFonts w:hint="eastAsia"/>
              </w:rPr>
              <w:t>四、制定标准的依据</w:t>
            </w:r>
            <w:r>
              <w:tab/>
            </w:r>
            <w:r>
              <w:fldChar w:fldCharType="begin"/>
            </w:r>
            <w:r>
              <w:instrText xml:space="preserve"> PAGEREF _Toc1811 \h </w:instrText>
            </w:r>
            <w:r>
              <w:fldChar w:fldCharType="separate"/>
            </w:r>
            <w:r>
              <w:t>3</w:t>
            </w:r>
            <w:r>
              <w:fldChar w:fldCharType="end"/>
            </w:r>
          </w:hyperlink>
        </w:p>
        <w:p w14:paraId="31094B86" w14:textId="77777777" w:rsidR="00B66664" w:rsidRDefault="00264D9A">
          <w:pPr>
            <w:pStyle w:val="TOC1"/>
            <w:tabs>
              <w:tab w:val="right" w:leader="dot" w:pos="8278"/>
            </w:tabs>
            <w:ind w:firstLine="560"/>
          </w:pPr>
          <w:hyperlink w:anchor="_Toc16895" w:history="1">
            <w:r>
              <w:rPr>
                <w:rFonts w:hint="eastAsia"/>
              </w:rPr>
              <w:t>五、主要实验（或验证）情况</w:t>
            </w:r>
            <w:r>
              <w:tab/>
            </w:r>
            <w:r>
              <w:fldChar w:fldCharType="begin"/>
            </w:r>
            <w:r>
              <w:instrText xml:space="preserve"> PAGEREF _Toc16895 \h </w:instrText>
            </w:r>
            <w:r>
              <w:fldChar w:fldCharType="separate"/>
            </w:r>
            <w:r>
              <w:t>4</w:t>
            </w:r>
            <w:r>
              <w:fldChar w:fldCharType="end"/>
            </w:r>
          </w:hyperlink>
        </w:p>
        <w:p w14:paraId="4CA31DA2" w14:textId="77777777" w:rsidR="00B66664" w:rsidRDefault="00264D9A">
          <w:pPr>
            <w:pStyle w:val="TOC2"/>
            <w:tabs>
              <w:tab w:val="right" w:leader="dot" w:pos="8278"/>
            </w:tabs>
            <w:ind w:left="560" w:firstLine="560"/>
          </w:pPr>
          <w:hyperlink w:anchor="_Toc17718" w:history="1">
            <w:r>
              <w:rPr>
                <w:rFonts w:hint="eastAsia"/>
              </w:rPr>
              <w:t xml:space="preserve">5.1 </w:t>
            </w:r>
            <w:r>
              <w:rPr>
                <w:rFonts w:hint="eastAsia"/>
              </w:rPr>
              <w:t>色谱条件的选择</w:t>
            </w:r>
            <w:r>
              <w:tab/>
            </w:r>
            <w:r>
              <w:fldChar w:fldCharType="begin"/>
            </w:r>
            <w:r>
              <w:instrText xml:space="preserve"> PAGEREF _Toc17718 \h </w:instrText>
            </w:r>
            <w:r>
              <w:fldChar w:fldCharType="separate"/>
            </w:r>
            <w:r>
              <w:t>4</w:t>
            </w:r>
            <w:r>
              <w:fldChar w:fldCharType="end"/>
            </w:r>
          </w:hyperlink>
        </w:p>
        <w:p w14:paraId="28B4B468" w14:textId="77777777" w:rsidR="00B66664" w:rsidRDefault="00264D9A">
          <w:pPr>
            <w:pStyle w:val="TOC2"/>
            <w:tabs>
              <w:tab w:val="right" w:leader="dot" w:pos="8278"/>
            </w:tabs>
            <w:ind w:left="560" w:firstLine="560"/>
          </w:pPr>
          <w:hyperlink w:anchor="_Toc654" w:history="1">
            <w:r>
              <w:rPr>
                <w:rFonts w:hint="eastAsia"/>
              </w:rPr>
              <w:t>5.2</w:t>
            </w:r>
            <w:r>
              <w:rPr>
                <w:rFonts w:hint="eastAsia"/>
              </w:rPr>
              <w:t>样品前处理条件的确立</w:t>
            </w:r>
            <w:r>
              <w:tab/>
            </w:r>
            <w:r>
              <w:fldChar w:fldCharType="begin"/>
            </w:r>
            <w:r>
              <w:instrText xml:space="preserve"> PAGEREF _Toc654 \h </w:instrText>
            </w:r>
            <w:r>
              <w:fldChar w:fldCharType="separate"/>
            </w:r>
            <w:r>
              <w:t>9</w:t>
            </w:r>
            <w:r>
              <w:fldChar w:fldCharType="end"/>
            </w:r>
          </w:hyperlink>
        </w:p>
        <w:p w14:paraId="3779CA7B" w14:textId="77777777" w:rsidR="00B66664" w:rsidRDefault="00264D9A">
          <w:pPr>
            <w:pStyle w:val="TOC2"/>
            <w:tabs>
              <w:tab w:val="right" w:leader="dot" w:pos="8278"/>
            </w:tabs>
            <w:ind w:left="560" w:firstLine="560"/>
          </w:pPr>
          <w:hyperlink w:anchor="_Toc3265" w:history="1">
            <w:r>
              <w:rPr>
                <w:rFonts w:hint="eastAsia"/>
              </w:rPr>
              <w:t>5.3</w:t>
            </w:r>
            <w:r>
              <w:rPr>
                <w:rFonts w:hint="eastAsia"/>
              </w:rPr>
              <w:t>线性范围</w:t>
            </w:r>
            <w:r>
              <w:tab/>
            </w:r>
            <w:r>
              <w:fldChar w:fldCharType="begin"/>
            </w:r>
            <w:r>
              <w:instrText xml:space="preserve"> PAGEREF _Toc3265 \h </w:instrText>
            </w:r>
            <w:r>
              <w:fldChar w:fldCharType="separate"/>
            </w:r>
            <w:r>
              <w:t>14</w:t>
            </w:r>
            <w:r>
              <w:fldChar w:fldCharType="end"/>
            </w:r>
          </w:hyperlink>
        </w:p>
        <w:p w14:paraId="56599C36" w14:textId="77777777" w:rsidR="00B66664" w:rsidRDefault="00264D9A">
          <w:pPr>
            <w:pStyle w:val="TOC2"/>
            <w:tabs>
              <w:tab w:val="right" w:leader="dot" w:pos="8278"/>
            </w:tabs>
            <w:ind w:left="560" w:firstLine="560"/>
          </w:pPr>
          <w:hyperlink w:anchor="_Toc8676" w:history="1">
            <w:r>
              <w:rPr>
                <w:rFonts w:hint="eastAsia"/>
              </w:rPr>
              <w:t>5.4</w:t>
            </w:r>
            <w:r>
              <w:rPr>
                <w:rFonts w:hint="eastAsia"/>
              </w:rPr>
              <w:t>方法检出限</w:t>
            </w:r>
            <w:r>
              <w:tab/>
            </w:r>
            <w:r>
              <w:fldChar w:fldCharType="begin"/>
            </w:r>
            <w:r>
              <w:instrText xml:space="preserve"> PAGEREF _Toc8676 \h </w:instrText>
            </w:r>
            <w:r>
              <w:fldChar w:fldCharType="separate"/>
            </w:r>
            <w:r>
              <w:t>14</w:t>
            </w:r>
            <w:r>
              <w:fldChar w:fldCharType="end"/>
            </w:r>
          </w:hyperlink>
        </w:p>
        <w:p w14:paraId="46CAA10D" w14:textId="77777777" w:rsidR="00B66664" w:rsidRDefault="00264D9A">
          <w:pPr>
            <w:pStyle w:val="TOC2"/>
            <w:tabs>
              <w:tab w:val="right" w:leader="dot" w:pos="8278"/>
            </w:tabs>
            <w:ind w:left="560" w:firstLine="560"/>
          </w:pPr>
          <w:hyperlink w:anchor="_Toc6133" w:history="1">
            <w:r>
              <w:rPr>
                <w:rFonts w:hint="eastAsia"/>
              </w:rPr>
              <w:t xml:space="preserve">5.5 </w:t>
            </w:r>
            <w:r>
              <w:rPr>
                <w:rFonts w:hint="eastAsia"/>
              </w:rPr>
              <w:t>精密度实验</w:t>
            </w:r>
            <w:r>
              <w:tab/>
            </w:r>
            <w:r>
              <w:fldChar w:fldCharType="begin"/>
            </w:r>
            <w:r>
              <w:instrText xml:space="preserve"> PAGEREF _Toc6133 \h </w:instrText>
            </w:r>
            <w:r>
              <w:fldChar w:fldCharType="separate"/>
            </w:r>
            <w:r>
              <w:t>15</w:t>
            </w:r>
            <w:r>
              <w:fldChar w:fldCharType="end"/>
            </w:r>
          </w:hyperlink>
        </w:p>
        <w:p w14:paraId="66915CF7" w14:textId="77777777" w:rsidR="00B66664" w:rsidRDefault="00264D9A">
          <w:pPr>
            <w:pStyle w:val="TOC2"/>
            <w:tabs>
              <w:tab w:val="right" w:leader="dot" w:pos="8278"/>
            </w:tabs>
            <w:ind w:left="560" w:firstLine="560"/>
          </w:pPr>
          <w:hyperlink w:anchor="_Toc25410" w:history="1">
            <w:r>
              <w:rPr>
                <w:rFonts w:hint="eastAsia"/>
              </w:rPr>
              <w:t>5.6</w:t>
            </w:r>
            <w:r>
              <w:rPr>
                <w:rFonts w:hint="eastAsia"/>
              </w:rPr>
              <w:t>方法重复性实验</w:t>
            </w:r>
            <w:r>
              <w:tab/>
            </w:r>
            <w:r>
              <w:fldChar w:fldCharType="begin"/>
            </w:r>
            <w:r>
              <w:instrText xml:space="preserve"> PAGEREF _Toc25410 \h </w:instrText>
            </w:r>
            <w:r>
              <w:fldChar w:fldCharType="separate"/>
            </w:r>
            <w:r>
              <w:t>16</w:t>
            </w:r>
            <w:r>
              <w:fldChar w:fldCharType="end"/>
            </w:r>
          </w:hyperlink>
        </w:p>
        <w:p w14:paraId="71A8697C" w14:textId="77777777" w:rsidR="00B66664" w:rsidRDefault="00264D9A">
          <w:pPr>
            <w:pStyle w:val="TOC2"/>
            <w:tabs>
              <w:tab w:val="right" w:leader="dot" w:pos="8278"/>
            </w:tabs>
            <w:ind w:left="560" w:firstLine="560"/>
          </w:pPr>
          <w:hyperlink w:anchor="_Toc20236" w:history="1">
            <w:r>
              <w:rPr>
                <w:rFonts w:hint="eastAsia"/>
              </w:rPr>
              <w:t>5.7</w:t>
            </w:r>
            <w:r>
              <w:rPr>
                <w:rFonts w:hint="eastAsia"/>
              </w:rPr>
              <w:t>方法回收率</w:t>
            </w:r>
            <w:r>
              <w:tab/>
            </w:r>
            <w:r>
              <w:fldChar w:fldCharType="begin"/>
            </w:r>
            <w:r>
              <w:instrText xml:space="preserve"> PAGEREF _Toc20236 \h </w:instrText>
            </w:r>
            <w:r>
              <w:fldChar w:fldCharType="separate"/>
            </w:r>
            <w:r>
              <w:t>17</w:t>
            </w:r>
            <w:r>
              <w:fldChar w:fldCharType="end"/>
            </w:r>
          </w:hyperlink>
        </w:p>
        <w:p w14:paraId="64E3C09E" w14:textId="77777777" w:rsidR="00B66664" w:rsidRDefault="00264D9A">
          <w:pPr>
            <w:pStyle w:val="TOC2"/>
            <w:tabs>
              <w:tab w:val="right" w:leader="dot" w:pos="8278"/>
            </w:tabs>
            <w:ind w:left="560" w:firstLine="560"/>
          </w:pPr>
          <w:hyperlink w:anchor="_Toc24590" w:history="1">
            <w:r>
              <w:rPr>
                <w:rFonts w:hint="eastAsia"/>
              </w:rPr>
              <w:t xml:space="preserve">5.7 </w:t>
            </w:r>
            <w:r>
              <w:rPr>
                <w:rFonts w:hint="eastAsia"/>
              </w:rPr>
              <w:t>实验室间比对实验</w:t>
            </w:r>
            <w:r>
              <w:tab/>
            </w:r>
            <w:r>
              <w:fldChar w:fldCharType="begin"/>
            </w:r>
            <w:r>
              <w:instrText xml:space="preserve"> PAGEREF _Toc24590 \h </w:instrText>
            </w:r>
            <w:r>
              <w:fldChar w:fldCharType="separate"/>
            </w:r>
            <w:r>
              <w:t>18</w:t>
            </w:r>
            <w:r>
              <w:fldChar w:fldCharType="end"/>
            </w:r>
          </w:hyperlink>
        </w:p>
        <w:p w14:paraId="10614FEF" w14:textId="77777777" w:rsidR="00B66664" w:rsidRDefault="00264D9A">
          <w:pPr>
            <w:pStyle w:val="TOC1"/>
            <w:tabs>
              <w:tab w:val="right" w:leader="dot" w:pos="8278"/>
            </w:tabs>
            <w:ind w:firstLine="560"/>
          </w:pPr>
          <w:hyperlink w:anchor="_Toc14236" w:history="1">
            <w:r>
              <w:rPr>
                <w:rFonts w:hint="eastAsia"/>
              </w:rPr>
              <w:t>六、预期社会经济效益</w:t>
            </w:r>
            <w:r>
              <w:tab/>
            </w:r>
            <w:r>
              <w:fldChar w:fldCharType="begin"/>
            </w:r>
            <w:r>
              <w:instrText xml:space="preserve"> PAGEREF _Toc14236 \h </w:instrText>
            </w:r>
            <w:r>
              <w:fldChar w:fldCharType="separate"/>
            </w:r>
            <w:r>
              <w:t>19</w:t>
            </w:r>
            <w:r>
              <w:fldChar w:fldCharType="end"/>
            </w:r>
          </w:hyperlink>
        </w:p>
        <w:p w14:paraId="004431D6" w14:textId="77777777" w:rsidR="00B66664" w:rsidRDefault="00264D9A">
          <w:pPr>
            <w:pStyle w:val="TOC1"/>
            <w:tabs>
              <w:tab w:val="right" w:leader="dot" w:pos="8278"/>
            </w:tabs>
            <w:ind w:firstLine="560"/>
          </w:pPr>
          <w:hyperlink w:anchor="_Toc14880" w:history="1">
            <w:r>
              <w:rPr>
                <w:rFonts w:hint="eastAsia"/>
              </w:rPr>
              <w:t>参考文献</w:t>
            </w:r>
            <w:r>
              <w:tab/>
            </w:r>
            <w:r>
              <w:fldChar w:fldCharType="begin"/>
            </w:r>
            <w:r>
              <w:instrText xml:space="preserve"> PAGEREF _Toc14880 \h </w:instrText>
            </w:r>
            <w:r>
              <w:fldChar w:fldCharType="separate"/>
            </w:r>
            <w:r>
              <w:t>19</w:t>
            </w:r>
            <w:r>
              <w:fldChar w:fldCharType="end"/>
            </w:r>
          </w:hyperlink>
        </w:p>
        <w:p w14:paraId="53388016" w14:textId="77777777" w:rsidR="00B66664" w:rsidRDefault="00264D9A">
          <w:pPr>
            <w:ind w:firstLine="560"/>
          </w:pPr>
          <w:r>
            <w:fldChar w:fldCharType="end"/>
          </w:r>
        </w:p>
      </w:sdtContent>
    </w:sdt>
    <w:p w14:paraId="39969F51" w14:textId="77777777" w:rsidR="00B66664" w:rsidRDefault="00B66664">
      <w:pPr>
        <w:autoSpaceDE w:val="0"/>
        <w:autoSpaceDN w:val="0"/>
        <w:adjustRightInd w:val="0"/>
        <w:snapToGrid w:val="0"/>
        <w:spacing w:line="360" w:lineRule="auto"/>
        <w:ind w:firstLine="560"/>
        <w:jc w:val="left"/>
        <w:rPr>
          <w:rFonts w:eastAsia="仿宋_GB2312"/>
          <w:szCs w:val="28"/>
        </w:rPr>
        <w:sectPr w:rsidR="00B66664">
          <w:headerReference w:type="even" r:id="rId9"/>
          <w:headerReference w:type="default" r:id="rId10"/>
          <w:footerReference w:type="even" r:id="rId11"/>
          <w:footerReference w:type="default" r:id="rId12"/>
          <w:headerReference w:type="first" r:id="rId13"/>
          <w:footerReference w:type="first" r:id="rId14"/>
          <w:pgSz w:w="11906" w:h="16838"/>
          <w:pgMar w:top="1588" w:right="1814" w:bottom="1588" w:left="1814" w:header="851" w:footer="992" w:gutter="0"/>
          <w:pgNumType w:start="1"/>
          <w:cols w:space="720"/>
          <w:titlePg/>
          <w:docGrid w:type="lines" w:linePitch="312"/>
        </w:sectPr>
      </w:pPr>
    </w:p>
    <w:p w14:paraId="626AA7B0" w14:textId="77777777" w:rsidR="00B66664" w:rsidRDefault="00264D9A">
      <w:pPr>
        <w:pStyle w:val="ab"/>
        <w:ind w:firstLineChars="0" w:firstLine="0"/>
      </w:pPr>
      <w:bookmarkStart w:id="0" w:name="_Toc23321917"/>
      <w:bookmarkStart w:id="1" w:name="_Toc20177"/>
      <w:r>
        <w:rPr>
          <w:rFonts w:hint="eastAsia"/>
        </w:rPr>
        <w:lastRenderedPageBreak/>
        <w:t>肥料中植物生长调节剂的测定</w:t>
      </w:r>
      <w:r>
        <w:rPr>
          <w:rFonts w:hint="eastAsia"/>
        </w:rPr>
        <w:t xml:space="preserve"> </w:t>
      </w:r>
      <w:r>
        <w:rPr>
          <w:rFonts w:hint="eastAsia"/>
        </w:rPr>
        <w:t>气相色谱法</w:t>
      </w:r>
      <w:bookmarkEnd w:id="0"/>
      <w:bookmarkEnd w:id="1"/>
    </w:p>
    <w:p w14:paraId="30AFECCC" w14:textId="5DD6D631" w:rsidR="00B66664" w:rsidRDefault="00264D9A">
      <w:pPr>
        <w:spacing w:line="360" w:lineRule="auto"/>
        <w:ind w:firstLine="560"/>
      </w:pPr>
      <w:r>
        <w:rPr>
          <w:rFonts w:hint="eastAsia"/>
        </w:rPr>
        <w:t>本标准根据</w:t>
      </w:r>
      <w:proofErr w:type="gramStart"/>
      <w:r>
        <w:rPr>
          <w:rFonts w:hint="eastAsia"/>
        </w:rPr>
        <w:t>国标委</w:t>
      </w:r>
      <w:proofErr w:type="gramEnd"/>
      <w:r>
        <w:rPr>
          <w:rFonts w:hint="eastAsia"/>
        </w:rPr>
        <w:t>发〔</w:t>
      </w:r>
      <w:r>
        <w:rPr>
          <w:rFonts w:hint="eastAsia"/>
        </w:rPr>
        <w:t>2018</w:t>
      </w:r>
      <w:r>
        <w:rPr>
          <w:rFonts w:hint="eastAsia"/>
        </w:rPr>
        <w:t>〕</w:t>
      </w:r>
      <w:r>
        <w:rPr>
          <w:rFonts w:hint="eastAsia"/>
        </w:rPr>
        <w:t>60</w:t>
      </w:r>
      <w:r>
        <w:rPr>
          <w:rFonts w:hint="eastAsia"/>
        </w:rPr>
        <w:t>号《国家标准化管理委员会关于下达</w:t>
      </w:r>
      <w:r>
        <w:rPr>
          <w:rFonts w:hint="eastAsia"/>
        </w:rPr>
        <w:t>2018</w:t>
      </w:r>
      <w:r>
        <w:rPr>
          <w:rFonts w:hint="eastAsia"/>
        </w:rPr>
        <w:t>年第三批国家标准制修订计划的通知》（项目编号为</w:t>
      </w:r>
      <w:r>
        <w:rPr>
          <w:rFonts w:hint="eastAsia"/>
        </w:rPr>
        <w:t>20182178-T-606</w:t>
      </w:r>
      <w:r>
        <w:rPr>
          <w:rFonts w:hint="eastAsia"/>
        </w:rPr>
        <w:t>）的要求，</w:t>
      </w:r>
      <w:r>
        <w:t>由山东省产品质量检验研究院</w:t>
      </w:r>
      <w:r>
        <w:rPr>
          <w:rFonts w:hint="eastAsia"/>
        </w:rPr>
        <w:t>、上海化工院检测有限公司等起草单位</w:t>
      </w:r>
      <w:r>
        <w:t>完成该标准实验研究内容，并已</w:t>
      </w:r>
      <w:r>
        <w:rPr>
          <w:rFonts w:hint="eastAsia"/>
        </w:rPr>
        <w:t>形成征求意见</w:t>
      </w:r>
      <w:r>
        <w:t>稿</w:t>
      </w:r>
      <w:r>
        <w:rPr>
          <w:rFonts w:hint="eastAsia"/>
        </w:rPr>
        <w:t>和编制说明</w:t>
      </w:r>
      <w:r>
        <w:t>，本标准为</w:t>
      </w:r>
      <w:r>
        <w:rPr>
          <w:rFonts w:hint="eastAsia"/>
        </w:rPr>
        <w:t>首</w:t>
      </w:r>
      <w:r>
        <w:t>次制定。</w:t>
      </w:r>
    </w:p>
    <w:p w14:paraId="681C0A20" w14:textId="77777777" w:rsidR="00B66664" w:rsidRDefault="00264D9A">
      <w:pPr>
        <w:pStyle w:val="1"/>
      </w:pPr>
      <w:bookmarkStart w:id="2" w:name="_Toc5917"/>
      <w:r>
        <w:rPr>
          <w:rFonts w:hint="eastAsia"/>
        </w:rPr>
        <w:t>一、制定标准的目的和意义</w:t>
      </w:r>
      <w:bookmarkEnd w:id="2"/>
    </w:p>
    <w:p w14:paraId="16BD5A6C" w14:textId="77777777" w:rsidR="00B66664" w:rsidRDefault="00264D9A">
      <w:pPr>
        <w:ind w:firstLine="560"/>
      </w:pPr>
      <w:r>
        <w:rPr>
          <w:rFonts w:hint="eastAsia"/>
        </w:rPr>
        <w:t>胺鲜酯（</w:t>
      </w:r>
      <w:r>
        <w:rPr>
          <w:rFonts w:hint="eastAsia"/>
        </w:rPr>
        <w:t>D</w:t>
      </w:r>
      <w:r>
        <w:t>A-6</w:t>
      </w:r>
      <w:r>
        <w:rPr>
          <w:rFonts w:hint="eastAsia"/>
        </w:rPr>
        <w:t>）是一种新型细胞分裂素类的植物生长调节剂，对多种农作物具有显著的增产、抗逆、抗病，改善品质、早熟等功效</w:t>
      </w:r>
      <w:r>
        <w:rPr>
          <w:rFonts w:hint="eastAsia"/>
          <w:vertAlign w:val="superscript"/>
        </w:rPr>
        <w:t>[</w:t>
      </w:r>
      <w:r>
        <w:rPr>
          <w:vertAlign w:val="superscript"/>
        </w:rPr>
        <w:t>1]</w:t>
      </w:r>
      <w:r>
        <w:rPr>
          <w:rFonts w:hint="eastAsia"/>
        </w:rPr>
        <w:t>。研究表明</w:t>
      </w:r>
      <w:r>
        <w:rPr>
          <w:rFonts w:hint="eastAsia"/>
        </w:rPr>
        <w:t xml:space="preserve"> , </w:t>
      </w:r>
      <w:r>
        <w:rPr>
          <w:rFonts w:hint="eastAsia"/>
        </w:rPr>
        <w:t>胺鲜酯可扩大植物叶面积</w:t>
      </w:r>
      <w:r>
        <w:rPr>
          <w:rFonts w:hint="eastAsia"/>
        </w:rPr>
        <w:t xml:space="preserve">, </w:t>
      </w:r>
      <w:r>
        <w:rPr>
          <w:rFonts w:hint="eastAsia"/>
        </w:rPr>
        <w:t>提高叶绿素含量和光合速率</w:t>
      </w:r>
      <w:r>
        <w:rPr>
          <w:rFonts w:hint="eastAsia"/>
        </w:rPr>
        <w:t xml:space="preserve"> , </w:t>
      </w:r>
      <w:r>
        <w:rPr>
          <w:rFonts w:hint="eastAsia"/>
        </w:rPr>
        <w:t>延长叶片功能期</w:t>
      </w:r>
      <w:r>
        <w:rPr>
          <w:rFonts w:hint="eastAsia"/>
        </w:rPr>
        <w:t xml:space="preserve">, </w:t>
      </w:r>
      <w:r>
        <w:rPr>
          <w:rFonts w:hint="eastAsia"/>
        </w:rPr>
        <w:t>促进植物碳水化合物的合成与积累</w:t>
      </w:r>
      <w:r>
        <w:rPr>
          <w:rFonts w:hint="eastAsia"/>
        </w:rPr>
        <w:t xml:space="preserve">, </w:t>
      </w:r>
      <w:r>
        <w:rPr>
          <w:rFonts w:hint="eastAsia"/>
        </w:rPr>
        <w:t>从而提高作物产量和品质</w:t>
      </w:r>
      <w:r>
        <w:rPr>
          <w:rFonts w:hint="eastAsia"/>
          <w:vertAlign w:val="superscript"/>
        </w:rPr>
        <w:t>[</w:t>
      </w:r>
      <w:r>
        <w:rPr>
          <w:vertAlign w:val="superscript"/>
        </w:rPr>
        <w:t>2]</w:t>
      </w:r>
      <w:r>
        <w:rPr>
          <w:rFonts w:hint="eastAsia"/>
        </w:rPr>
        <w:t>。然而，胺鲜酯在不同作物中的使用浓度是有不同的，例如孙晓慧等胺鲜酯在菠菜中的施用研究中发现，胺鲜酯对菠菜的最佳底施浓度为</w:t>
      </w:r>
      <w:r>
        <w:rPr>
          <w:rFonts w:hint="eastAsia"/>
        </w:rPr>
        <w:t>10mg</w:t>
      </w:r>
      <w:r>
        <w:rPr>
          <w:rFonts w:hint="eastAsia"/>
        </w:rPr>
        <w:t>·</w:t>
      </w:r>
      <w:r>
        <w:rPr>
          <w:rFonts w:hint="eastAsia"/>
        </w:rPr>
        <w:t>kg</w:t>
      </w:r>
      <w:r>
        <w:rPr>
          <w:rFonts w:hint="eastAsia"/>
          <w:vertAlign w:val="superscript"/>
        </w:rPr>
        <w:t>-1</w:t>
      </w:r>
      <w:r>
        <w:rPr>
          <w:rFonts w:hint="eastAsia"/>
        </w:rPr>
        <w:t>时可提高菠菜产量，提升菠菜品质，但随着喷施胺鲜酯浓度的升高，菠菜地下部全氮含量逐渐降低，菠菜长势不佳，对地下部的生长有所影响</w:t>
      </w:r>
      <w:r>
        <w:rPr>
          <w:rFonts w:hint="eastAsia"/>
          <w:vertAlign w:val="superscript"/>
        </w:rPr>
        <w:t>[</w:t>
      </w:r>
      <w:r>
        <w:rPr>
          <w:vertAlign w:val="superscript"/>
        </w:rPr>
        <w:t>3]</w:t>
      </w:r>
      <w:r>
        <w:rPr>
          <w:rFonts w:hint="eastAsia"/>
        </w:rPr>
        <w:t>。使用浓度过高，将会产生对一些农作物产生抑制生长现象</w:t>
      </w:r>
      <w:r>
        <w:rPr>
          <w:rFonts w:hint="eastAsia"/>
          <w:vertAlign w:val="superscript"/>
        </w:rPr>
        <w:t>[4</w:t>
      </w:r>
      <w:r>
        <w:rPr>
          <w:vertAlign w:val="superscript"/>
        </w:rPr>
        <w:t>]</w:t>
      </w:r>
      <w:r>
        <w:rPr>
          <w:rFonts w:hint="eastAsia"/>
        </w:rPr>
        <w:t>，从而减低农作物品质及产量。若在肥料产品中隐形添加该植物生长调节剂，使用过程中极易造成与植物生长调节剂制剂产品重复使用的现象，对农作物造成潜在危害。</w:t>
      </w:r>
    </w:p>
    <w:p w14:paraId="7942B12E" w14:textId="77777777" w:rsidR="00B66664" w:rsidRDefault="00264D9A">
      <w:pPr>
        <w:ind w:firstLine="560"/>
      </w:pPr>
      <w:r>
        <w:rPr>
          <w:rFonts w:hint="eastAsia"/>
        </w:rPr>
        <w:t>多效唑是</w:t>
      </w:r>
      <w:r>
        <w:rPr>
          <w:rFonts w:hint="eastAsia"/>
        </w:rPr>
        <w:t>80</w:t>
      </w:r>
      <w:r>
        <w:rPr>
          <w:rFonts w:hint="eastAsia"/>
        </w:rPr>
        <w:t>年代研制成功的三唑类植物生长调节剂，是内源赤霉素合成的抑制剂。也可提高水稻吲哚乙酸氧化酶的活性，降低稻苗内源</w:t>
      </w:r>
      <w:r>
        <w:rPr>
          <w:rFonts w:hint="eastAsia"/>
        </w:rPr>
        <w:t>IAA</w:t>
      </w:r>
      <w:r>
        <w:rPr>
          <w:rFonts w:hint="eastAsia"/>
        </w:rPr>
        <w:t>的水平。明显减弱稻苗顶端生长优势，促进侧芽</w:t>
      </w:r>
      <w:r>
        <w:rPr>
          <w:rFonts w:hint="eastAsia"/>
        </w:rPr>
        <w:t>(</w:t>
      </w:r>
      <w:r>
        <w:rPr>
          <w:rFonts w:hint="eastAsia"/>
        </w:rPr>
        <w:t>分蘖</w:t>
      </w:r>
      <w:r>
        <w:rPr>
          <w:rFonts w:hint="eastAsia"/>
        </w:rPr>
        <w:t>)</w:t>
      </w:r>
      <w:r>
        <w:rPr>
          <w:rFonts w:hint="eastAsia"/>
        </w:rPr>
        <w:t>滋生。多效唑的农</w:t>
      </w:r>
      <w:r>
        <w:rPr>
          <w:rFonts w:hint="eastAsia"/>
        </w:rPr>
        <w:lastRenderedPageBreak/>
        <w:t>业应用价值在于它对作物生长的控制效应。具有延缓植物生长，抑制茎杆伸长，缩短节间、促进植物分蘖、促进花芽分化，增加植物抗逆性能，提高产量等效果。本品适用于水稻、麦类、花生、果树、烟草、油菜、大豆、花卉、草坪等作（植）物，使用效果显著。但是，高浓度的多效唑并不会提高促进作用，反而会造成植株矮小，块根块茎小，畸形，叶片卷曲，哑花，基部老叶提前脱落，幼叶扭曲，皱缩等现象。对于棉花则出现植株严重矮化，果枝不能伸展、叶片畸形，赘芽丛生、落蕾落铃。花生则出现叶片小，植株不生长，花生果小，早衰。由于多效唑药效时间较长，对下茬作物也会产生药害，导致不出苗、晚出苗，出苗率低，幼苗畸形等药害症状。此外，多效唑在土壤中残留时间较长，常温（</w:t>
      </w:r>
      <w:r>
        <w:rPr>
          <w:rFonts w:hint="eastAsia"/>
        </w:rPr>
        <w:t>20</w:t>
      </w:r>
      <w:r>
        <w:rPr>
          <w:rFonts w:hint="eastAsia"/>
        </w:rPr>
        <w:t>℃）储存稳定期在两年以上，如果多效唑使用或处理不当，即使来年在该基地上种植出的蔬菜也极易造成药物残留超标。</w:t>
      </w:r>
    </w:p>
    <w:p w14:paraId="0E942AA6" w14:textId="77777777" w:rsidR="00B66664" w:rsidRDefault="00264D9A">
      <w:pPr>
        <w:ind w:firstLine="560"/>
      </w:pPr>
      <w:r>
        <w:rPr>
          <w:rFonts w:hint="eastAsia"/>
        </w:rPr>
        <w:t>我国对植物生长调节剂按照农药登记的要求进行管理，若在肥料中添加植物生长调节剂，应与药肥的登记方式相同，即按照农药进行登记，但由于农药登记时间长、费用高，一些不法厂商出现在肥料中违禁添加植物生长调节剂的现象屡见不鲜，影响了肥料行业的健康发展，阻碍了药肥产业的发展秩序。</w:t>
      </w:r>
      <w:r>
        <w:t>因此</w:t>
      </w:r>
      <w:r>
        <w:rPr>
          <w:rFonts w:hint="eastAsia"/>
        </w:rPr>
        <w:t>，</w:t>
      </w:r>
      <w:r>
        <w:t>对</w:t>
      </w:r>
      <w:r>
        <w:rPr>
          <w:rFonts w:hint="eastAsia"/>
        </w:rPr>
        <w:t>肥料</w:t>
      </w:r>
      <w:r>
        <w:t>产品</w:t>
      </w:r>
      <w:r>
        <w:rPr>
          <w:rFonts w:hint="eastAsia"/>
        </w:rPr>
        <w:t>中植物生长调节剂——胺鲜酯、多效唑的</w:t>
      </w:r>
      <w:r>
        <w:t>监测十分重要</w:t>
      </w:r>
      <w:r>
        <w:rPr>
          <w:rFonts w:hint="eastAsia"/>
        </w:rPr>
        <w:t>，为保障农作物质量安全，保护农民的合法权益，促进肥料行业健康发展，加速药肥这一新兴产业的崛起提供技术支撑，为政府监管提供技术依据</w:t>
      </w:r>
      <w:r>
        <w:t>。</w:t>
      </w:r>
    </w:p>
    <w:p w14:paraId="6534DC5F" w14:textId="77777777" w:rsidR="00B66664" w:rsidRDefault="00264D9A">
      <w:pPr>
        <w:pStyle w:val="1"/>
      </w:pPr>
      <w:bookmarkStart w:id="3" w:name="_Toc24467"/>
      <w:r>
        <w:rPr>
          <w:rFonts w:hint="eastAsia"/>
        </w:rPr>
        <w:t>二、制定标准原则</w:t>
      </w:r>
      <w:bookmarkEnd w:id="3"/>
    </w:p>
    <w:p w14:paraId="37F71FF3" w14:textId="77777777" w:rsidR="00B66664" w:rsidRDefault="00264D9A">
      <w:pPr>
        <w:ind w:firstLine="560"/>
      </w:pPr>
      <w:r>
        <w:t>标准编制遵循</w:t>
      </w:r>
      <w:r>
        <w:t>“</w:t>
      </w:r>
      <w:r>
        <w:t>先进性，实用性，统一性，规范性</w:t>
      </w:r>
      <w:r>
        <w:t>”</w:t>
      </w:r>
      <w:r>
        <w:t>的原则，按照</w:t>
      </w:r>
      <w:r>
        <w:t xml:space="preserve">GB/T </w:t>
      </w:r>
      <w:r>
        <w:lastRenderedPageBreak/>
        <w:t>1.1-2009</w:t>
      </w:r>
      <w:r>
        <w:t>标准化工作导则第</w:t>
      </w:r>
      <w:r>
        <w:t>1</w:t>
      </w:r>
      <w:r>
        <w:t>部分：标准的结构和编写规则》和</w:t>
      </w:r>
      <w:r>
        <w:t>GB/T 20001.4-2015</w:t>
      </w:r>
      <w:r>
        <w:t>《标准编写规则第</w:t>
      </w:r>
      <w:r>
        <w:t>4</w:t>
      </w:r>
      <w:r>
        <w:t>部分：试验方法标准》进行编制。</w:t>
      </w:r>
    </w:p>
    <w:p w14:paraId="1E917549" w14:textId="77777777" w:rsidR="00B66664" w:rsidRDefault="00264D9A">
      <w:pPr>
        <w:pStyle w:val="1"/>
      </w:pPr>
      <w:bookmarkStart w:id="4" w:name="_Toc2581"/>
      <w:r>
        <w:rPr>
          <w:rFonts w:hint="eastAsia"/>
        </w:rPr>
        <w:t>三、标准制定的进程</w:t>
      </w:r>
      <w:bookmarkEnd w:id="4"/>
    </w:p>
    <w:p w14:paraId="26C45774" w14:textId="77777777" w:rsidR="00B66664" w:rsidRDefault="00264D9A">
      <w:pPr>
        <w:ind w:firstLine="560"/>
      </w:pPr>
      <w:r>
        <w:t>1</w:t>
      </w:r>
      <w:r>
        <w:t>、收集相关文献资料，初步拟定检测方法。</w:t>
      </w:r>
    </w:p>
    <w:p w14:paraId="555BBEED" w14:textId="77777777" w:rsidR="00B66664" w:rsidRDefault="00264D9A">
      <w:pPr>
        <w:ind w:firstLine="560"/>
      </w:pPr>
      <w:r>
        <w:t>根据立项要求，通过查阅国内外相关文献资料，文献资料中主要有气相色谱法与液相色谱法两种，其中</w:t>
      </w:r>
      <w:r>
        <w:rPr>
          <w:rFonts w:hint="eastAsia"/>
        </w:rPr>
        <w:t>液相色谱检测相对成本较高，</w:t>
      </w:r>
      <w:r>
        <w:t>气相色谱法前处理简单、快捷，因此最终拟定采用</w:t>
      </w:r>
      <w:r>
        <w:rPr>
          <w:rFonts w:hint="eastAsia"/>
        </w:rPr>
        <w:t>气</w:t>
      </w:r>
      <w:r>
        <w:t>相色谱法检测肥料中</w:t>
      </w:r>
      <w:r>
        <w:rPr>
          <w:rFonts w:hint="eastAsia"/>
        </w:rPr>
        <w:t>胺鲜酯、多效唑</w:t>
      </w:r>
      <w:r>
        <w:t>的含量。</w:t>
      </w:r>
    </w:p>
    <w:p w14:paraId="3BB8765F" w14:textId="77777777" w:rsidR="00B66664" w:rsidRDefault="00264D9A">
      <w:pPr>
        <w:ind w:firstLine="560"/>
      </w:pPr>
      <w:r>
        <w:t>2</w:t>
      </w:r>
      <w:r>
        <w:t>、优化前处理及仪器条件，确定肥料中</w:t>
      </w:r>
      <w:r>
        <w:rPr>
          <w:rFonts w:hint="eastAsia"/>
        </w:rPr>
        <w:t>胺鲜酯、多效唑</w:t>
      </w:r>
      <w:r>
        <w:t>的检测方法。</w:t>
      </w:r>
    </w:p>
    <w:p w14:paraId="2EA1E00C" w14:textId="77777777" w:rsidR="00B66664" w:rsidRDefault="00264D9A">
      <w:pPr>
        <w:ind w:firstLine="560"/>
      </w:pPr>
      <w:r>
        <w:t>经过对</w:t>
      </w:r>
      <w:r>
        <w:rPr>
          <w:rFonts w:hint="eastAsia"/>
        </w:rPr>
        <w:t>多效唑、</w:t>
      </w:r>
      <w:r>
        <w:t>提取、分离条件的选择，进一步对仪器条件进行优化，确定了准确度高、可行性强的检测方法。</w:t>
      </w:r>
    </w:p>
    <w:p w14:paraId="131CF56B" w14:textId="77777777" w:rsidR="00B66664" w:rsidRDefault="00264D9A">
      <w:pPr>
        <w:ind w:firstLine="560"/>
      </w:pPr>
      <w:r>
        <w:t>3</w:t>
      </w:r>
      <w:r>
        <w:t>、完成实验室间比对，撰写《肥料中</w:t>
      </w:r>
      <w:r>
        <w:rPr>
          <w:rFonts w:hint="eastAsia"/>
        </w:rPr>
        <w:t>植物生长调节剂的</w:t>
      </w:r>
      <w:r>
        <w:t>测定</w:t>
      </w:r>
      <w:r>
        <w:rPr>
          <w:rFonts w:hint="eastAsia"/>
        </w:rPr>
        <w:t>气</w:t>
      </w:r>
      <w:r>
        <w:t>相色谱法》标准报批稿。</w:t>
      </w:r>
    </w:p>
    <w:p w14:paraId="58FFC12B" w14:textId="77777777" w:rsidR="00B66664" w:rsidRDefault="00264D9A">
      <w:pPr>
        <w:pStyle w:val="1"/>
      </w:pPr>
      <w:bookmarkStart w:id="5" w:name="_Toc1811"/>
      <w:r>
        <w:rPr>
          <w:rFonts w:hint="eastAsia"/>
        </w:rPr>
        <w:t>四、制定标准的依据</w:t>
      </w:r>
      <w:bookmarkEnd w:id="5"/>
    </w:p>
    <w:p w14:paraId="66A26A68" w14:textId="136D3FA9" w:rsidR="00B66664" w:rsidRDefault="00264D9A">
      <w:pPr>
        <w:ind w:firstLine="560"/>
      </w:pPr>
      <w:r>
        <w:rPr>
          <w:rFonts w:hint="eastAsia"/>
        </w:rPr>
        <w:t>起草小组</w:t>
      </w:r>
      <w:r>
        <w:t>在充分收集、认真研究相关标准及资料的基础上，结合本实验室的条件及方法的技术特点，对肥料中</w:t>
      </w:r>
      <w:proofErr w:type="gramStart"/>
      <w:r>
        <w:rPr>
          <w:rFonts w:hint="eastAsia"/>
        </w:rPr>
        <w:t>胺鲜酯</w:t>
      </w:r>
      <w:proofErr w:type="gramEnd"/>
      <w:r>
        <w:rPr>
          <w:rFonts w:hint="eastAsia"/>
        </w:rPr>
        <w:t>、多效</w:t>
      </w:r>
      <w:proofErr w:type="gramStart"/>
      <w:r>
        <w:rPr>
          <w:rFonts w:hint="eastAsia"/>
        </w:rPr>
        <w:t>唑</w:t>
      </w:r>
      <w:proofErr w:type="gramEnd"/>
      <w:r>
        <w:t>的检测方法进行试验，在论证了方法的灵敏度、准确性、线性范围和应用范围的前提下，通过反复研究和分析，建立肥料中</w:t>
      </w:r>
      <w:proofErr w:type="gramStart"/>
      <w:r>
        <w:rPr>
          <w:rFonts w:hint="eastAsia"/>
        </w:rPr>
        <w:t>胺鲜酯</w:t>
      </w:r>
      <w:proofErr w:type="gramEnd"/>
      <w:r>
        <w:rPr>
          <w:rFonts w:hint="eastAsia"/>
        </w:rPr>
        <w:t>、多效</w:t>
      </w:r>
      <w:proofErr w:type="gramStart"/>
      <w:r>
        <w:rPr>
          <w:rFonts w:hint="eastAsia"/>
        </w:rPr>
        <w:t>唑</w:t>
      </w:r>
      <w:proofErr w:type="gramEnd"/>
      <w:r>
        <w:t>的</w:t>
      </w:r>
      <w:r>
        <w:rPr>
          <w:rFonts w:hint="eastAsia"/>
        </w:rPr>
        <w:t>气</w:t>
      </w:r>
      <w:r>
        <w:t>相色谱测定的方法，对本标准进行回收率和重复性实验均符合要求。</w:t>
      </w:r>
    </w:p>
    <w:p w14:paraId="7FD9052C" w14:textId="77777777" w:rsidR="00B66664" w:rsidRDefault="00264D9A">
      <w:pPr>
        <w:pStyle w:val="1"/>
      </w:pPr>
      <w:bookmarkStart w:id="6" w:name="_Toc16895"/>
      <w:r>
        <w:rPr>
          <w:rFonts w:hint="eastAsia"/>
        </w:rPr>
        <w:lastRenderedPageBreak/>
        <w:t>五、主要实验（或验证）情况</w:t>
      </w:r>
      <w:bookmarkEnd w:id="6"/>
    </w:p>
    <w:p w14:paraId="43A870AE" w14:textId="77777777" w:rsidR="00B66664" w:rsidRDefault="00264D9A">
      <w:pPr>
        <w:pStyle w:val="2"/>
      </w:pPr>
      <w:bookmarkStart w:id="7" w:name="_Toc17718"/>
      <w:bookmarkStart w:id="8" w:name="_Toc437531449"/>
      <w:bookmarkStart w:id="9" w:name="_Toc437604557"/>
      <w:bookmarkStart w:id="10" w:name="_Toc437521302"/>
      <w:bookmarkStart w:id="11" w:name="_Toc437601807"/>
      <w:bookmarkStart w:id="12" w:name="_Toc437604010"/>
      <w:r>
        <w:rPr>
          <w:rFonts w:hint="eastAsia"/>
        </w:rPr>
        <w:t xml:space="preserve">5.1 </w:t>
      </w:r>
      <w:r>
        <w:rPr>
          <w:rFonts w:hint="eastAsia"/>
        </w:rPr>
        <w:t>色谱条件的选择</w:t>
      </w:r>
      <w:bookmarkEnd w:id="7"/>
    </w:p>
    <w:bookmarkEnd w:id="8"/>
    <w:bookmarkEnd w:id="9"/>
    <w:bookmarkEnd w:id="10"/>
    <w:bookmarkEnd w:id="11"/>
    <w:bookmarkEnd w:id="12"/>
    <w:p w14:paraId="2FF79B41" w14:textId="77777777" w:rsidR="00B66664" w:rsidRDefault="00264D9A">
      <w:pPr>
        <w:pStyle w:val="a9"/>
      </w:pPr>
      <w:r>
        <w:rPr>
          <w:rFonts w:hint="eastAsia"/>
        </w:rPr>
        <w:t xml:space="preserve">5.1.1 </w:t>
      </w:r>
      <w:r>
        <w:rPr>
          <w:rFonts w:hint="eastAsia"/>
        </w:rPr>
        <w:t>检测器的选择</w:t>
      </w:r>
    </w:p>
    <w:p w14:paraId="490BD080" w14:textId="77777777" w:rsidR="00B66664" w:rsidRDefault="00264D9A">
      <w:pPr>
        <w:ind w:firstLine="560"/>
      </w:pPr>
      <w:r>
        <w:rPr>
          <w:rFonts w:hint="eastAsia"/>
        </w:rPr>
        <w:t>氢火焰离子检测器（</w:t>
      </w:r>
      <w:r>
        <w:rPr>
          <w:rFonts w:hint="eastAsia"/>
        </w:rPr>
        <w:t>FID</w:t>
      </w:r>
      <w:r>
        <w:rPr>
          <w:rFonts w:hint="eastAsia"/>
        </w:rPr>
        <w:t>）是一种通用性较强的检测器，虽然该检测器相对于氮磷检测器</w:t>
      </w:r>
      <w:r>
        <w:rPr>
          <w:rFonts w:hint="eastAsia"/>
        </w:rPr>
        <w:t>(NPD)</w:t>
      </w:r>
      <w:r>
        <w:rPr>
          <w:rFonts w:hint="eastAsia"/>
        </w:rPr>
        <w:t>、电子俘获检测器</w:t>
      </w:r>
      <w:r>
        <w:rPr>
          <w:rFonts w:hint="eastAsia"/>
        </w:rPr>
        <w:t>(ECD)</w:t>
      </w:r>
      <w:r>
        <w:rPr>
          <w:rFonts w:hint="eastAsia"/>
        </w:rPr>
        <w:t>而言，灵敏度较低，检出限较高，但由于在肥料中添加胺鲜酯、多效唑时，一般会按照制剂配方添加，含量不会过低，且氢火焰离子检测器的通用性强，经济使用，稳定性较高，故在试验中选择氢火焰离子检测器检测肥料中的胺鲜酯、多效唑含量。</w:t>
      </w:r>
    </w:p>
    <w:p w14:paraId="654A87B4" w14:textId="77777777" w:rsidR="00B66664" w:rsidRDefault="00264D9A">
      <w:pPr>
        <w:pStyle w:val="a9"/>
      </w:pPr>
      <w:r>
        <w:rPr>
          <w:rFonts w:hint="eastAsia"/>
        </w:rPr>
        <w:t xml:space="preserve">5.1.2 </w:t>
      </w:r>
      <w:r>
        <w:rPr>
          <w:rFonts w:hint="eastAsia"/>
        </w:rPr>
        <w:t>色谱柱的选择</w:t>
      </w:r>
    </w:p>
    <w:p w14:paraId="7744EFFC" w14:textId="77777777" w:rsidR="00B66664" w:rsidRDefault="00264D9A">
      <w:pPr>
        <w:ind w:firstLine="560"/>
      </w:pPr>
      <w:r>
        <w:rPr>
          <w:rFonts w:hint="eastAsia"/>
        </w:rPr>
        <w:t>通过对胺鲜酯、多效唑性质的了解及相关文献的查询，检测多效唑的气相色谱法中，多使用</w:t>
      </w:r>
      <w:r>
        <w:rPr>
          <w:rFonts w:hint="eastAsia"/>
        </w:rPr>
        <w:t>DB-17</w:t>
      </w:r>
      <w:r>
        <w:rPr>
          <w:rFonts w:hint="eastAsia"/>
        </w:rPr>
        <w:t>色谱柱</w:t>
      </w:r>
      <w:r>
        <w:rPr>
          <w:rFonts w:hint="eastAsia"/>
          <w:vertAlign w:val="superscript"/>
        </w:rPr>
        <w:t>[</w:t>
      </w:r>
      <w:r>
        <w:rPr>
          <w:vertAlign w:val="superscript"/>
        </w:rPr>
        <w:t>5]</w:t>
      </w:r>
      <w:r>
        <w:rPr>
          <w:rFonts w:hint="eastAsia"/>
        </w:rPr>
        <w:t>[</w:t>
      </w:r>
      <w:r>
        <w:rPr>
          <w:rFonts w:hint="eastAsia"/>
        </w:rPr>
        <w:t>固定相为（</w:t>
      </w:r>
      <w:r>
        <w:rPr>
          <w:rFonts w:hint="eastAsia"/>
        </w:rPr>
        <w:t xml:space="preserve">50%- </w:t>
      </w:r>
      <w:r>
        <w:rPr>
          <w:rFonts w:hint="eastAsia"/>
        </w:rPr>
        <w:t>苯基</w:t>
      </w:r>
      <w:r>
        <w:rPr>
          <w:rFonts w:hint="eastAsia"/>
        </w:rPr>
        <w:t xml:space="preserve">) - </w:t>
      </w:r>
      <w:r>
        <w:rPr>
          <w:rFonts w:hint="eastAsia"/>
        </w:rPr>
        <w:t>甲基聚硅氧烷</w:t>
      </w:r>
      <w:r>
        <w:rPr>
          <w:rFonts w:hint="eastAsia"/>
        </w:rPr>
        <w:t>]</w:t>
      </w:r>
      <w:r>
        <w:rPr>
          <w:rFonts w:hint="eastAsia"/>
        </w:rPr>
        <w:t>、</w:t>
      </w:r>
      <w:r>
        <w:rPr>
          <w:rFonts w:hint="eastAsia"/>
        </w:rPr>
        <w:t>HP-5</w:t>
      </w:r>
      <w:r>
        <w:rPr>
          <w:rFonts w:hint="eastAsia"/>
        </w:rPr>
        <w:t>色谱柱</w:t>
      </w:r>
      <w:r>
        <w:rPr>
          <w:rFonts w:hint="eastAsia"/>
          <w:vertAlign w:val="superscript"/>
        </w:rPr>
        <w:t>[</w:t>
      </w:r>
      <w:r>
        <w:rPr>
          <w:vertAlign w:val="superscript"/>
        </w:rPr>
        <w:t>6-8]</w:t>
      </w:r>
      <w:r>
        <w:rPr>
          <w:rFonts w:hint="eastAsia"/>
        </w:rPr>
        <w:t>[</w:t>
      </w:r>
      <w:r>
        <w:rPr>
          <w:rFonts w:hint="eastAsia"/>
        </w:rPr>
        <w:t>固定相为（</w:t>
      </w:r>
      <w:r>
        <w:rPr>
          <w:rFonts w:hint="eastAsia"/>
        </w:rPr>
        <w:t>5%-</w:t>
      </w:r>
      <w:r>
        <w:rPr>
          <w:rFonts w:hint="eastAsia"/>
        </w:rPr>
        <w:t>苯基）</w:t>
      </w:r>
      <w:r>
        <w:rPr>
          <w:rFonts w:hint="eastAsia"/>
        </w:rPr>
        <w:t>-95%</w:t>
      </w:r>
      <w:r>
        <w:rPr>
          <w:rFonts w:hint="eastAsia"/>
        </w:rPr>
        <w:t>二甲基聚硅氧烷</w:t>
      </w:r>
      <w:r>
        <w:rPr>
          <w:rFonts w:hint="eastAsia"/>
        </w:rPr>
        <w:t>]</w:t>
      </w:r>
      <w:r>
        <w:rPr>
          <w:rFonts w:hint="eastAsia"/>
        </w:rPr>
        <w:t>或固定相类似的色谱柱；检测胺鲜酯的气相色谱法中，多使用</w:t>
      </w:r>
      <w:r>
        <w:rPr>
          <w:rFonts w:hint="eastAsia"/>
        </w:rPr>
        <w:t>HP-5</w:t>
      </w:r>
      <w:r>
        <w:rPr>
          <w:rFonts w:hint="eastAsia"/>
        </w:rPr>
        <w:t>色谱柱或固定相类似的色谱柱</w:t>
      </w:r>
      <w:r>
        <w:rPr>
          <w:rFonts w:hint="eastAsia"/>
          <w:vertAlign w:val="superscript"/>
        </w:rPr>
        <w:t>[</w:t>
      </w:r>
      <w:r>
        <w:rPr>
          <w:vertAlign w:val="superscript"/>
        </w:rPr>
        <w:t>9-11]</w:t>
      </w:r>
      <w:r>
        <w:rPr>
          <w:rFonts w:hint="eastAsia"/>
        </w:rPr>
        <w:t>、</w:t>
      </w:r>
      <w:r>
        <w:rPr>
          <w:rFonts w:hint="eastAsia"/>
        </w:rPr>
        <w:t>HP-</w:t>
      </w:r>
      <w:proofErr w:type="spellStart"/>
      <w:r>
        <w:rPr>
          <w:rFonts w:hint="eastAsia"/>
        </w:rPr>
        <w:t>INNOWax</w:t>
      </w:r>
      <w:proofErr w:type="spellEnd"/>
      <w:r>
        <w:rPr>
          <w:rFonts w:hint="eastAsia"/>
        </w:rPr>
        <w:t>色谱柱</w:t>
      </w:r>
      <w:r>
        <w:rPr>
          <w:rFonts w:hint="eastAsia"/>
          <w:vertAlign w:val="superscript"/>
        </w:rPr>
        <w:t>[</w:t>
      </w:r>
      <w:r>
        <w:rPr>
          <w:vertAlign w:val="superscript"/>
        </w:rPr>
        <w:t>12]</w:t>
      </w:r>
      <w:r>
        <w:rPr>
          <w:rFonts w:hint="eastAsia"/>
        </w:rPr>
        <w:t>[</w:t>
      </w:r>
      <w:r>
        <w:rPr>
          <w:rFonts w:hint="eastAsia"/>
        </w:rPr>
        <w:t>固定相为聚乙二醇</w:t>
      </w:r>
      <w:r>
        <w:rPr>
          <w:rFonts w:hint="eastAsia"/>
        </w:rPr>
        <w:t>(PEG)]</w:t>
      </w:r>
      <w:r>
        <w:rPr>
          <w:rFonts w:hint="eastAsia"/>
        </w:rPr>
        <w:t>。本方法中拟使用</w:t>
      </w:r>
      <w:r>
        <w:rPr>
          <w:rFonts w:hint="eastAsia"/>
        </w:rPr>
        <w:t>HP-5</w:t>
      </w:r>
      <w:r>
        <w:rPr>
          <w:rFonts w:hint="eastAsia"/>
        </w:rPr>
        <w:t>色谱柱对胺鲜酯、多效唑进行同时检测，经试验验证，该色谱柱对胺鲜酯、多效唑的分离效果较好，可以达到同时检测的目的。</w:t>
      </w:r>
    </w:p>
    <w:p w14:paraId="2AB79075" w14:textId="77777777" w:rsidR="00B66664" w:rsidRDefault="00264D9A">
      <w:pPr>
        <w:pStyle w:val="a9"/>
      </w:pPr>
      <w:r>
        <w:rPr>
          <w:rFonts w:hint="eastAsia"/>
        </w:rPr>
        <w:t xml:space="preserve">5.1.3 </w:t>
      </w:r>
      <w:r>
        <w:rPr>
          <w:rFonts w:hint="eastAsia"/>
        </w:rPr>
        <w:t>柱温起始温度的选择</w:t>
      </w:r>
    </w:p>
    <w:p w14:paraId="5F2DA05C" w14:textId="77777777" w:rsidR="00B66664" w:rsidRDefault="00264D9A">
      <w:pPr>
        <w:ind w:firstLine="560"/>
      </w:pPr>
      <w:r>
        <w:rPr>
          <w:rFonts w:hint="eastAsia"/>
        </w:rPr>
        <w:t>本方法采用等速升温的方式对胺鲜酯、多效唑进行分离，对起始温度在</w:t>
      </w:r>
      <w:r>
        <w:rPr>
          <w:rFonts w:hint="eastAsia"/>
        </w:rPr>
        <w:t>50</w:t>
      </w:r>
      <w:r>
        <w:rPr>
          <w:rFonts w:hint="eastAsia"/>
        </w:rPr>
        <w:t>℃</w:t>
      </w:r>
      <w:r>
        <w:rPr>
          <w:rFonts w:hint="eastAsia"/>
        </w:rPr>
        <w:t>~130</w:t>
      </w:r>
      <w:r>
        <w:rPr>
          <w:rFonts w:hint="eastAsia"/>
        </w:rPr>
        <w:t>℃范围内进行测试，从</w:t>
      </w:r>
      <w:r>
        <w:rPr>
          <w:rFonts w:hint="eastAsia"/>
        </w:rPr>
        <w:t>50</w:t>
      </w:r>
      <w:r>
        <w:rPr>
          <w:rFonts w:hint="eastAsia"/>
        </w:rPr>
        <w:t>℃开始每增加</w:t>
      </w:r>
      <w:r>
        <w:rPr>
          <w:rFonts w:hint="eastAsia"/>
        </w:rPr>
        <w:t>10</w:t>
      </w:r>
      <w:r>
        <w:rPr>
          <w:rFonts w:hint="eastAsia"/>
        </w:rPr>
        <w:t>℃为一个起始温度测试值，使用浓度为</w:t>
      </w:r>
      <w:r>
        <w:rPr>
          <w:rFonts w:hint="eastAsia"/>
        </w:rPr>
        <w:t>100mg/L</w:t>
      </w:r>
      <w:r>
        <w:rPr>
          <w:rFonts w:hint="eastAsia"/>
        </w:rPr>
        <w:t>的胺鲜酯、多效唑标准品进行测试。以两者</w:t>
      </w:r>
      <w:r>
        <w:rPr>
          <w:rFonts w:hint="eastAsia"/>
        </w:rPr>
        <w:lastRenderedPageBreak/>
        <w:t>的峰面积、峰高为参考依据，选定最佳起始温度。</w:t>
      </w:r>
    </w:p>
    <w:p w14:paraId="746DCAAD" w14:textId="77777777" w:rsidR="00B66664" w:rsidRDefault="00264D9A">
      <w:pPr>
        <w:ind w:firstLine="560"/>
      </w:pPr>
      <w:r>
        <w:rPr>
          <w:rFonts w:hint="eastAsia"/>
        </w:rPr>
        <w:t>经试验发现起始温度对多效唑峰面积及峰高没有造成明显变化；对胺鲜酯而言，其峰面积无明显变化，但其峰高变化较大。本试验中，以起始温度为横坐标、相应起始温度下的峰高为纵坐标做趋势图，来显示起始温度对胺鲜酯峰高的影响，趋势图见图</w:t>
      </w:r>
      <w:r>
        <w:rPr>
          <w:rFonts w:hint="eastAsia"/>
        </w:rPr>
        <w:t>1</w:t>
      </w:r>
      <w:r>
        <w:rPr>
          <w:rFonts w:hint="eastAsia"/>
        </w:rPr>
        <w:t>。</w:t>
      </w:r>
    </w:p>
    <w:p w14:paraId="33054636" w14:textId="77777777" w:rsidR="00B66664" w:rsidRDefault="00264D9A">
      <w:pPr>
        <w:ind w:firstLineChars="0" w:firstLine="0"/>
        <w:jc w:val="center"/>
        <w:rPr>
          <w:rFonts w:ascii="黑体" w:eastAsia="黑体"/>
          <w:sz w:val="24"/>
        </w:rPr>
      </w:pPr>
      <w:r>
        <w:rPr>
          <w:rFonts w:ascii="黑体" w:eastAsia="黑体" w:hint="eastAsia"/>
          <w:noProof/>
          <w:sz w:val="24"/>
        </w:rPr>
        <w:drawing>
          <wp:inline distT="0" distB="0" distL="0" distR="0" wp14:anchorId="7CAB5417" wp14:editId="53C5FAAE">
            <wp:extent cx="5073015" cy="2453005"/>
            <wp:effectExtent l="0" t="0" r="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C6346BA" w14:textId="77777777" w:rsidR="00B66664" w:rsidRDefault="00264D9A">
      <w:pPr>
        <w:pStyle w:val="a3"/>
        <w:spacing w:after="156"/>
        <w:ind w:firstLine="480"/>
        <w:rPr>
          <w:rFonts w:ascii="黑体"/>
          <w:szCs w:val="24"/>
        </w:rPr>
      </w:pPr>
      <w:r>
        <w:rPr>
          <w:rFonts w:ascii="黑体" w:hint="eastAsia"/>
          <w:szCs w:val="24"/>
        </w:rPr>
        <w:t>图1 柱温起始温度对胺鲜酯峰高的影响</w:t>
      </w:r>
    </w:p>
    <w:p w14:paraId="379D47DB" w14:textId="77777777" w:rsidR="00B66664" w:rsidRDefault="00264D9A">
      <w:pPr>
        <w:ind w:firstLine="560"/>
      </w:pPr>
      <w:r>
        <w:rPr>
          <w:rFonts w:hint="eastAsia"/>
        </w:rPr>
        <w:t>在色谱检测中，峰高越高、峰型越窄越有利于待测物的检测，对待测物的检出限越低、准确度越高。随着起始温度的升高，胺鲜酯峰面积无明显变化，而峰高越来越小，则说明起始温度越高，胺鲜酯的峰型越扁平，不利于样品中该物质的分离与检测。由图</w:t>
      </w:r>
      <w:r>
        <w:rPr>
          <w:rFonts w:hint="eastAsia"/>
        </w:rPr>
        <w:t>1</w:t>
      </w:r>
      <w:r>
        <w:rPr>
          <w:rFonts w:hint="eastAsia"/>
        </w:rPr>
        <w:t>可见，起始温度在</w:t>
      </w:r>
      <w:r>
        <w:rPr>
          <w:rFonts w:hint="eastAsia"/>
        </w:rPr>
        <w:t>50</w:t>
      </w:r>
      <w:r>
        <w:rPr>
          <w:rFonts w:hint="eastAsia"/>
        </w:rPr>
        <w:t>℃</w:t>
      </w:r>
      <w:r>
        <w:rPr>
          <w:rFonts w:hint="eastAsia"/>
        </w:rPr>
        <w:t>~130</w:t>
      </w:r>
      <w:r>
        <w:rPr>
          <w:rFonts w:hint="eastAsia"/>
        </w:rPr>
        <w:t>℃范围内，</w:t>
      </w:r>
      <w:r>
        <w:rPr>
          <w:rFonts w:hint="eastAsia"/>
        </w:rPr>
        <w:t>60</w:t>
      </w:r>
      <w:r>
        <w:rPr>
          <w:rFonts w:hint="eastAsia"/>
        </w:rPr>
        <w:t>℃时胺鲜酯峰高最高，因此，本方法中选定色谱柱的起始温度为</w:t>
      </w:r>
      <w:r>
        <w:rPr>
          <w:rFonts w:hint="eastAsia"/>
        </w:rPr>
        <w:t>60</w:t>
      </w:r>
      <w:r>
        <w:rPr>
          <w:rFonts w:hint="eastAsia"/>
        </w:rPr>
        <w:t>℃。</w:t>
      </w:r>
    </w:p>
    <w:p w14:paraId="27DA60D2" w14:textId="77777777" w:rsidR="00B66664" w:rsidRDefault="00264D9A">
      <w:pPr>
        <w:pStyle w:val="a9"/>
      </w:pPr>
      <w:r>
        <w:rPr>
          <w:rFonts w:hint="eastAsia"/>
        </w:rPr>
        <w:t xml:space="preserve">5.1.4 </w:t>
      </w:r>
      <w:r>
        <w:rPr>
          <w:rFonts w:hint="eastAsia"/>
        </w:rPr>
        <w:t>柱温升温速率的选择</w:t>
      </w:r>
    </w:p>
    <w:p w14:paraId="7FC11DF8" w14:textId="77777777" w:rsidR="00B66664" w:rsidRDefault="00264D9A">
      <w:pPr>
        <w:ind w:firstLine="560"/>
      </w:pPr>
      <w:r>
        <w:rPr>
          <w:rFonts w:hint="eastAsia"/>
        </w:rPr>
        <w:t>本方法拟定等度升温，升温速率在</w:t>
      </w:r>
      <w:r>
        <w:rPr>
          <w:rFonts w:hint="eastAsia"/>
        </w:rPr>
        <w:t>10</w:t>
      </w:r>
      <w:r>
        <w:rPr>
          <w:rFonts w:hint="eastAsia"/>
        </w:rPr>
        <w:t>℃</w:t>
      </w:r>
      <w:r>
        <w:rPr>
          <w:rFonts w:hint="eastAsia"/>
        </w:rPr>
        <w:t>/min~30</w:t>
      </w:r>
      <w:r>
        <w:rPr>
          <w:rFonts w:hint="eastAsia"/>
        </w:rPr>
        <w:t>℃</w:t>
      </w:r>
      <w:r>
        <w:t>/min</w:t>
      </w:r>
      <w:r>
        <w:rPr>
          <w:rFonts w:hint="eastAsia"/>
        </w:rPr>
        <w:t>范围内进行测试，从</w:t>
      </w:r>
      <w:r>
        <w:rPr>
          <w:rFonts w:hint="eastAsia"/>
        </w:rPr>
        <w:t>10</w:t>
      </w:r>
      <w:r>
        <w:rPr>
          <w:rFonts w:hint="eastAsia"/>
        </w:rPr>
        <w:t>℃</w:t>
      </w:r>
      <w:r>
        <w:rPr>
          <w:rFonts w:hint="eastAsia"/>
        </w:rPr>
        <w:t>/min</w:t>
      </w:r>
      <w:r>
        <w:rPr>
          <w:rFonts w:hint="eastAsia"/>
        </w:rPr>
        <w:t>开始每增加</w:t>
      </w:r>
      <w:r>
        <w:rPr>
          <w:rFonts w:hint="eastAsia"/>
        </w:rPr>
        <w:t>5</w:t>
      </w:r>
      <w:r>
        <w:rPr>
          <w:rFonts w:hint="eastAsia"/>
        </w:rPr>
        <w:t>℃为一个升温速率测试值，使用</w:t>
      </w:r>
      <w:r>
        <w:rPr>
          <w:rFonts w:hint="eastAsia"/>
        </w:rPr>
        <w:t>100mg/L</w:t>
      </w:r>
      <w:r>
        <w:rPr>
          <w:rFonts w:hint="eastAsia"/>
        </w:rPr>
        <w:t>的胺鲜酯与多效唑标准品、固体水溶肥料样品待测液、液体水溶肥料样品待</w:t>
      </w:r>
      <w:r>
        <w:rPr>
          <w:rFonts w:hint="eastAsia"/>
        </w:rPr>
        <w:lastRenderedPageBreak/>
        <w:t>测液及有机肥料样品待测液进行测试，分别考察升温速率对待测物响应值及不同样品分离情况的影响。</w:t>
      </w:r>
    </w:p>
    <w:p w14:paraId="2EA7B073" w14:textId="77777777" w:rsidR="00B66664" w:rsidRDefault="00264D9A">
      <w:pPr>
        <w:ind w:firstLine="560"/>
      </w:pPr>
      <w:r>
        <w:rPr>
          <w:rFonts w:hint="eastAsia"/>
        </w:rPr>
        <w:t>经测试，随着升温速率的增大，胺鲜酯与多效唑的峰面积、峰高也随之增大，但对样品中杂质的分离效果越差。以液体水溶肥料产品为例，如图</w:t>
      </w:r>
      <w:r>
        <w:rPr>
          <w:rFonts w:hint="eastAsia"/>
        </w:rPr>
        <w:t>2</w:t>
      </w:r>
      <w:r>
        <w:rPr>
          <w:rFonts w:hint="eastAsia"/>
        </w:rPr>
        <w:t>所示，升温速率越小，对样品中杂质的分离效果越好。</w:t>
      </w:r>
    </w:p>
    <w:p w14:paraId="72290145" w14:textId="77777777" w:rsidR="00B66664" w:rsidRDefault="00264D9A">
      <w:pPr>
        <w:keepNext/>
        <w:ind w:firstLineChars="0" w:firstLine="0"/>
        <w:jc w:val="center"/>
      </w:pPr>
      <w:r>
        <w:rPr>
          <w:noProof/>
        </w:rPr>
        <w:drawing>
          <wp:inline distT="0" distB="0" distL="0" distR="0" wp14:anchorId="6D2EB6A8" wp14:editId="342235E1">
            <wp:extent cx="5678170" cy="4070350"/>
            <wp:effectExtent l="19050" t="0" r="0" b="0"/>
            <wp:docPr id="12" name="pi13"/>
            <wp:cNvGraphicFramePr/>
            <a:graphic xmlns:a="http://schemas.openxmlformats.org/drawingml/2006/main">
              <a:graphicData uri="http://schemas.openxmlformats.org/drawingml/2006/picture">
                <pic:pic xmlns:pic="http://schemas.openxmlformats.org/drawingml/2006/picture">
                  <pic:nvPicPr>
                    <pic:cNvPr id="12" name="pi13"/>
                    <pic:cNvPicPr/>
                  </pic:nvPicPr>
                  <pic:blipFill>
                    <a:blip r:embed="rId16"/>
                    <a:srcRect/>
                    <a:stretch>
                      <a:fillRect/>
                    </a:stretch>
                  </pic:blipFill>
                  <pic:spPr>
                    <a:xfrm>
                      <a:off x="0" y="0"/>
                      <a:ext cx="5688330" cy="4077983"/>
                    </a:xfrm>
                    <a:prstGeom prst="rect">
                      <a:avLst/>
                    </a:prstGeom>
                  </pic:spPr>
                </pic:pic>
              </a:graphicData>
            </a:graphic>
          </wp:inline>
        </w:drawing>
      </w:r>
    </w:p>
    <w:p w14:paraId="2A229793" w14:textId="77777777" w:rsidR="00B66664" w:rsidRDefault="00264D9A">
      <w:pPr>
        <w:pStyle w:val="a3"/>
        <w:spacing w:after="156"/>
        <w:ind w:firstLine="480"/>
        <w:rPr>
          <w:rFonts w:ascii="黑体"/>
          <w:szCs w:val="24"/>
        </w:rPr>
      </w:pPr>
      <w:r>
        <w:rPr>
          <w:rFonts w:ascii="黑体" w:hint="eastAsia"/>
          <w:szCs w:val="24"/>
        </w:rPr>
        <w:t xml:space="preserve">图2 不同升温速率对样品中杂质的分离效果 </w:t>
      </w:r>
    </w:p>
    <w:p w14:paraId="0C1D9E46" w14:textId="77777777" w:rsidR="00B66664" w:rsidRDefault="00264D9A">
      <w:pPr>
        <w:ind w:firstLine="560"/>
      </w:pPr>
      <w:r>
        <w:rPr>
          <w:rFonts w:hint="eastAsia"/>
        </w:rPr>
        <w:t>然而，升温速率越小对待测物的响应值越低、检出限越高，因此，要在保证杂质可以完全分离的情况下，尽可能降低方法的检出限，选择合适的升温速率。通过在相同升温速率下标准物质谱图与样品谱图的对比，发现当升温速率为</w:t>
      </w:r>
      <w:r>
        <w:rPr>
          <w:rFonts w:hint="eastAsia"/>
        </w:rPr>
        <w:t>10</w:t>
      </w:r>
      <w:r>
        <w:rPr>
          <w:rFonts w:hint="eastAsia"/>
        </w:rPr>
        <w:t>℃</w:t>
      </w:r>
      <w:r>
        <w:rPr>
          <w:rFonts w:hint="eastAsia"/>
        </w:rPr>
        <w:t>/min</w:t>
      </w:r>
      <w:r>
        <w:rPr>
          <w:rFonts w:hint="eastAsia"/>
        </w:rPr>
        <w:t>、</w:t>
      </w:r>
      <w:r>
        <w:rPr>
          <w:rFonts w:hint="eastAsia"/>
        </w:rPr>
        <w:t>15</w:t>
      </w:r>
      <w:r>
        <w:rPr>
          <w:rFonts w:hint="eastAsia"/>
        </w:rPr>
        <w:t>℃</w:t>
      </w:r>
      <w:r>
        <w:rPr>
          <w:rFonts w:hint="eastAsia"/>
        </w:rPr>
        <w:t>/min</w:t>
      </w:r>
      <w:r>
        <w:rPr>
          <w:rFonts w:hint="eastAsia"/>
        </w:rPr>
        <w:t>时分离效果较好；当升温速率达到</w:t>
      </w:r>
      <w:r>
        <w:rPr>
          <w:rFonts w:hint="eastAsia"/>
        </w:rPr>
        <w:t>25</w:t>
      </w:r>
      <w:r>
        <w:rPr>
          <w:rFonts w:hint="eastAsia"/>
        </w:rPr>
        <w:t>℃</w:t>
      </w:r>
      <w:r>
        <w:rPr>
          <w:rFonts w:hint="eastAsia"/>
        </w:rPr>
        <w:t>/min</w:t>
      </w:r>
      <w:r>
        <w:rPr>
          <w:rFonts w:hint="eastAsia"/>
        </w:rPr>
        <w:t>、</w:t>
      </w:r>
      <w:r>
        <w:rPr>
          <w:rFonts w:hint="eastAsia"/>
        </w:rPr>
        <w:t>30</w:t>
      </w:r>
      <w:r>
        <w:rPr>
          <w:rFonts w:hint="eastAsia"/>
        </w:rPr>
        <w:t>℃</w:t>
      </w:r>
      <w:r>
        <w:rPr>
          <w:rFonts w:hint="eastAsia"/>
        </w:rPr>
        <w:t>/min</w:t>
      </w:r>
      <w:r>
        <w:rPr>
          <w:rFonts w:hint="eastAsia"/>
        </w:rPr>
        <w:t>时样品中出现与待测物无法完全分离的杂质峰；当升温速率为</w:t>
      </w:r>
      <w:r>
        <w:rPr>
          <w:rFonts w:hint="eastAsia"/>
        </w:rPr>
        <w:t>20</w:t>
      </w:r>
      <w:r>
        <w:rPr>
          <w:rFonts w:hint="eastAsia"/>
        </w:rPr>
        <w:t>℃</w:t>
      </w:r>
      <w:r>
        <w:rPr>
          <w:rFonts w:hint="eastAsia"/>
        </w:rPr>
        <w:t>/min</w:t>
      </w:r>
      <w:r>
        <w:rPr>
          <w:rFonts w:hint="eastAsia"/>
        </w:rPr>
        <w:t>时，分离效果虽不如</w:t>
      </w:r>
      <w:r>
        <w:rPr>
          <w:rFonts w:hint="eastAsia"/>
        </w:rPr>
        <w:t>10</w:t>
      </w:r>
      <w:r>
        <w:rPr>
          <w:rFonts w:hint="eastAsia"/>
        </w:rPr>
        <w:t>℃</w:t>
      </w:r>
      <w:r>
        <w:rPr>
          <w:rFonts w:hint="eastAsia"/>
        </w:rPr>
        <w:t>/min</w:t>
      </w:r>
      <w:r>
        <w:rPr>
          <w:rFonts w:hint="eastAsia"/>
        </w:rPr>
        <w:t>、</w:t>
      </w:r>
      <w:r>
        <w:rPr>
          <w:rFonts w:hint="eastAsia"/>
        </w:rPr>
        <w:t>15</w:t>
      </w:r>
      <w:r>
        <w:rPr>
          <w:rFonts w:hint="eastAsia"/>
        </w:rPr>
        <w:t>℃</w:t>
      </w:r>
      <w:r>
        <w:rPr>
          <w:rFonts w:hint="eastAsia"/>
        </w:rPr>
        <w:t>/min</w:t>
      </w:r>
      <w:r>
        <w:rPr>
          <w:rFonts w:hint="eastAsia"/>
        </w:rPr>
        <w:t>时，但杂质峰可</w:t>
      </w:r>
      <w:r>
        <w:rPr>
          <w:rFonts w:hint="eastAsia"/>
        </w:rPr>
        <w:lastRenderedPageBreak/>
        <w:t>以与待测物完全分离，在此升温速率下，既可以达到满足试验要求的分离效果，又可以确保待测物有较高的峰面积、峰高。最终本方法，选择柱温升温速率为</w:t>
      </w:r>
      <w:r>
        <w:rPr>
          <w:rFonts w:hint="eastAsia"/>
        </w:rPr>
        <w:t>20</w:t>
      </w:r>
      <w:r>
        <w:rPr>
          <w:rFonts w:hint="eastAsia"/>
        </w:rPr>
        <w:t>℃</w:t>
      </w:r>
      <w:r>
        <w:rPr>
          <w:rFonts w:hint="eastAsia"/>
        </w:rPr>
        <w:t>/min</w:t>
      </w:r>
      <w:r>
        <w:rPr>
          <w:rFonts w:hint="eastAsia"/>
        </w:rPr>
        <w:t>。</w:t>
      </w:r>
    </w:p>
    <w:p w14:paraId="674D9BEC" w14:textId="77777777" w:rsidR="00B66664" w:rsidRDefault="00264D9A">
      <w:pPr>
        <w:pStyle w:val="a9"/>
      </w:pPr>
      <w:r>
        <w:rPr>
          <w:rFonts w:hint="eastAsia"/>
        </w:rPr>
        <w:t>5.1.5</w:t>
      </w:r>
      <w:r>
        <w:rPr>
          <w:rFonts w:hint="eastAsia"/>
        </w:rPr>
        <w:t>进样口温度的选择</w:t>
      </w:r>
    </w:p>
    <w:p w14:paraId="2763AB4A" w14:textId="77777777" w:rsidR="00B66664" w:rsidRDefault="00264D9A">
      <w:pPr>
        <w:ind w:firstLine="560"/>
      </w:pPr>
      <w:r>
        <w:rPr>
          <w:rFonts w:hint="eastAsia"/>
        </w:rPr>
        <w:t>本方法对进样口温度在</w:t>
      </w:r>
      <w:r>
        <w:rPr>
          <w:rFonts w:hint="eastAsia"/>
        </w:rPr>
        <w:t>190</w:t>
      </w:r>
      <w:r>
        <w:rPr>
          <w:rFonts w:hint="eastAsia"/>
        </w:rPr>
        <w:t>℃</w:t>
      </w:r>
      <w:r>
        <w:rPr>
          <w:rFonts w:hint="eastAsia"/>
        </w:rPr>
        <w:t>~270</w:t>
      </w:r>
      <w:r>
        <w:rPr>
          <w:rFonts w:hint="eastAsia"/>
        </w:rPr>
        <w:t>℃范围内进行测试，从</w:t>
      </w:r>
      <w:r>
        <w:rPr>
          <w:rFonts w:hint="eastAsia"/>
        </w:rPr>
        <w:t>190</w:t>
      </w:r>
      <w:r>
        <w:rPr>
          <w:rFonts w:hint="eastAsia"/>
        </w:rPr>
        <w:t>℃开始每增加</w:t>
      </w:r>
      <w:r>
        <w:rPr>
          <w:rFonts w:hint="eastAsia"/>
        </w:rPr>
        <w:t>10</w:t>
      </w:r>
      <w:r>
        <w:rPr>
          <w:rFonts w:hint="eastAsia"/>
        </w:rPr>
        <w:t>℃为一个进样口温度测试值，使用为</w:t>
      </w:r>
      <w:r>
        <w:rPr>
          <w:rFonts w:hint="eastAsia"/>
        </w:rPr>
        <w:t>100mg/L</w:t>
      </w:r>
      <w:r>
        <w:rPr>
          <w:rFonts w:hint="eastAsia"/>
        </w:rPr>
        <w:t>的胺鲜酯、多效唑标准品进行测试。以两者的峰面积、峰高为参考依据，选定进样口温度。</w:t>
      </w:r>
    </w:p>
    <w:p w14:paraId="35AF07B5" w14:textId="77777777" w:rsidR="00B66664" w:rsidRDefault="00264D9A">
      <w:pPr>
        <w:ind w:firstLine="560"/>
      </w:pPr>
      <w:r>
        <w:rPr>
          <w:rFonts w:hint="eastAsia"/>
        </w:rPr>
        <w:t>经测试，在此温度范围内，对胺鲜酯的响应值几乎无影响，但对多效唑响应值的影响较大。本试验中，以进样口温度为横坐标、相应温度下的峰面积为纵坐标做趋势图，来显示进样口温度对多效唑响应值的影响，趋势图见图</w:t>
      </w:r>
      <w:r>
        <w:rPr>
          <w:rFonts w:hint="eastAsia"/>
        </w:rPr>
        <w:t>3</w:t>
      </w:r>
      <w:r>
        <w:rPr>
          <w:rFonts w:hint="eastAsia"/>
        </w:rPr>
        <w:t>。</w:t>
      </w:r>
    </w:p>
    <w:p w14:paraId="16C76BB8" w14:textId="77777777" w:rsidR="00B66664" w:rsidRDefault="00264D9A">
      <w:pPr>
        <w:keepNext/>
        <w:ind w:firstLineChars="0" w:firstLine="0"/>
      </w:pPr>
      <w:r>
        <w:rPr>
          <w:noProof/>
        </w:rPr>
        <w:drawing>
          <wp:inline distT="0" distB="0" distL="0" distR="0" wp14:anchorId="1F79D37B" wp14:editId="1FB2C7E3">
            <wp:extent cx="5486400" cy="3200400"/>
            <wp:effectExtent l="0" t="0" r="0" b="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B7C37D3" w14:textId="77777777" w:rsidR="00B66664" w:rsidRDefault="00264D9A">
      <w:pPr>
        <w:pStyle w:val="a3"/>
        <w:spacing w:after="156"/>
        <w:ind w:firstLine="480"/>
        <w:rPr>
          <w:rFonts w:ascii="黑体"/>
          <w:szCs w:val="24"/>
        </w:rPr>
      </w:pPr>
      <w:r>
        <w:rPr>
          <w:rFonts w:ascii="黑体" w:hint="eastAsia"/>
          <w:szCs w:val="24"/>
        </w:rPr>
        <w:t>图3 不同进样口温度对多效唑峰面积的影响</w:t>
      </w:r>
    </w:p>
    <w:p w14:paraId="67768C84" w14:textId="77777777" w:rsidR="00B66664" w:rsidRDefault="00264D9A">
      <w:pPr>
        <w:ind w:firstLine="560"/>
      </w:pPr>
      <w:r>
        <w:rPr>
          <w:rFonts w:hint="eastAsia"/>
        </w:rPr>
        <w:t>由图</w:t>
      </w:r>
      <w:r>
        <w:rPr>
          <w:rFonts w:hint="eastAsia"/>
        </w:rPr>
        <w:t>3</w:t>
      </w:r>
      <w:r>
        <w:rPr>
          <w:rFonts w:hint="eastAsia"/>
        </w:rPr>
        <w:t>可见，随着进样口温度的升高，多效唑峰面积逐渐增大，在进样口温度达到为</w:t>
      </w:r>
      <w:r>
        <w:rPr>
          <w:rFonts w:hint="eastAsia"/>
        </w:rPr>
        <w:t>250</w:t>
      </w:r>
      <w:r>
        <w:rPr>
          <w:rFonts w:hint="eastAsia"/>
        </w:rPr>
        <w:t>℃时，峰面积趋于稳定，因此，本方法中选定进样口</w:t>
      </w:r>
      <w:r>
        <w:rPr>
          <w:rFonts w:hint="eastAsia"/>
        </w:rPr>
        <w:lastRenderedPageBreak/>
        <w:t>温度为</w:t>
      </w:r>
      <w:r>
        <w:rPr>
          <w:rFonts w:hint="eastAsia"/>
        </w:rPr>
        <w:t>250</w:t>
      </w:r>
      <w:r>
        <w:rPr>
          <w:rFonts w:hint="eastAsia"/>
        </w:rPr>
        <w:t>℃。</w:t>
      </w:r>
    </w:p>
    <w:p w14:paraId="49F98F53" w14:textId="77777777" w:rsidR="00B66664" w:rsidRDefault="00264D9A">
      <w:pPr>
        <w:pStyle w:val="a9"/>
      </w:pPr>
      <w:r>
        <w:rPr>
          <w:rFonts w:hint="eastAsia"/>
        </w:rPr>
        <w:t>5.1.6</w:t>
      </w:r>
      <w:r>
        <w:rPr>
          <w:rFonts w:hint="eastAsia"/>
        </w:rPr>
        <w:t>分流比选择</w:t>
      </w:r>
    </w:p>
    <w:p w14:paraId="05FC4829" w14:textId="77777777" w:rsidR="00B66664" w:rsidRDefault="00264D9A">
      <w:pPr>
        <w:ind w:firstLine="560"/>
      </w:pPr>
      <w:r>
        <w:rPr>
          <w:rFonts w:hint="eastAsia"/>
        </w:rPr>
        <w:t>本方法分别通过不分流、分流比</w:t>
      </w:r>
      <w:r>
        <w:rPr>
          <w:rFonts w:hint="eastAsia"/>
        </w:rPr>
        <w:t>2</w:t>
      </w:r>
      <w:r>
        <w:rPr>
          <w:rFonts w:hint="eastAsia"/>
        </w:rPr>
        <w:t>：</w:t>
      </w:r>
      <w:r>
        <w:rPr>
          <w:rFonts w:hint="eastAsia"/>
        </w:rPr>
        <w:t>1</w:t>
      </w:r>
      <w:r>
        <w:rPr>
          <w:rFonts w:hint="eastAsia"/>
        </w:rPr>
        <w:t>、分流比</w:t>
      </w:r>
      <w:r>
        <w:rPr>
          <w:rFonts w:hint="eastAsia"/>
        </w:rPr>
        <w:t>5</w:t>
      </w:r>
      <w:r>
        <w:rPr>
          <w:rFonts w:hint="eastAsia"/>
        </w:rPr>
        <w:t>：</w:t>
      </w:r>
      <w:r>
        <w:rPr>
          <w:rFonts w:hint="eastAsia"/>
        </w:rPr>
        <w:t>1</w:t>
      </w:r>
      <w:r>
        <w:rPr>
          <w:rFonts w:hint="eastAsia"/>
        </w:rPr>
        <w:t>、分流比</w:t>
      </w:r>
      <w:r>
        <w:rPr>
          <w:rFonts w:hint="eastAsia"/>
        </w:rPr>
        <w:t>10</w:t>
      </w:r>
      <w:r>
        <w:rPr>
          <w:rFonts w:hint="eastAsia"/>
        </w:rPr>
        <w:t>：</w:t>
      </w:r>
      <w:r>
        <w:rPr>
          <w:rFonts w:hint="eastAsia"/>
        </w:rPr>
        <w:t>1</w:t>
      </w:r>
      <w:r>
        <w:rPr>
          <w:rFonts w:hint="eastAsia"/>
        </w:rPr>
        <w:t>四种不同的分流比对胺鲜酯、多效唑标准品及加入</w:t>
      </w:r>
      <w:r>
        <w:rPr>
          <w:rFonts w:hint="eastAsia"/>
        </w:rPr>
        <w:t>5</w:t>
      </w:r>
      <w:r>
        <w:t>μg</w:t>
      </w:r>
      <w:r>
        <w:rPr>
          <w:rFonts w:hint="eastAsia"/>
        </w:rPr>
        <w:t>标准品的空白样品进行测试。以能够检出空白样品中加标浓度为基础，同时又能达到良好分离效果的分流比为最终分流比。</w:t>
      </w:r>
    </w:p>
    <w:p w14:paraId="3A68FAAD" w14:textId="77777777" w:rsidR="00B66664" w:rsidRDefault="00264D9A">
      <w:pPr>
        <w:ind w:firstLine="560"/>
      </w:pPr>
      <w:r>
        <w:rPr>
          <w:rFonts w:hint="eastAsia"/>
        </w:rPr>
        <w:t>经测试，加入标准品的空白样品在四中不同的分流比条件下，随着分流比的增大，杂质的分离效果越好，但对加标样品中待测物的检出限越高。如图</w:t>
      </w:r>
      <w:r>
        <w:rPr>
          <w:rFonts w:hint="eastAsia"/>
        </w:rPr>
        <w:t>4</w:t>
      </w:r>
      <w:r>
        <w:rPr>
          <w:rFonts w:hint="eastAsia"/>
        </w:rPr>
        <w:t>所示，当不分流、分流比为</w:t>
      </w:r>
      <w:r>
        <w:rPr>
          <w:rFonts w:hint="eastAsia"/>
        </w:rPr>
        <w:t>2</w:t>
      </w:r>
      <w:r>
        <w:rPr>
          <w:rFonts w:hint="eastAsia"/>
        </w:rPr>
        <w:t>：</w:t>
      </w:r>
      <w:r>
        <w:rPr>
          <w:rFonts w:hint="eastAsia"/>
        </w:rPr>
        <w:t>1</w:t>
      </w:r>
      <w:r>
        <w:rPr>
          <w:rFonts w:hint="eastAsia"/>
        </w:rPr>
        <w:t>时，加标空白样品可以同时检出胺鲜酯、多效唑；当分流比为</w:t>
      </w:r>
      <w:r>
        <w:rPr>
          <w:rFonts w:hint="eastAsia"/>
        </w:rPr>
        <w:t>5</w:t>
      </w:r>
      <w:r>
        <w:rPr>
          <w:rFonts w:hint="eastAsia"/>
        </w:rPr>
        <w:t>：</w:t>
      </w:r>
      <w:r>
        <w:rPr>
          <w:rFonts w:hint="eastAsia"/>
        </w:rPr>
        <w:t>1</w:t>
      </w:r>
      <w:r>
        <w:rPr>
          <w:rFonts w:hint="eastAsia"/>
        </w:rPr>
        <w:t>时，加标空白样品无法检测出胺鲜酯；当分流比为</w:t>
      </w:r>
      <w:r>
        <w:rPr>
          <w:rFonts w:hint="eastAsia"/>
        </w:rPr>
        <w:t>10</w:t>
      </w:r>
      <w:r>
        <w:rPr>
          <w:rFonts w:hint="eastAsia"/>
        </w:rPr>
        <w:t>：</w:t>
      </w:r>
      <w:r>
        <w:rPr>
          <w:rFonts w:hint="eastAsia"/>
        </w:rPr>
        <w:t>1</w:t>
      </w:r>
      <w:r>
        <w:rPr>
          <w:rFonts w:hint="eastAsia"/>
        </w:rPr>
        <w:t>时，加标空白样品中两种待测物均无法检出。其中，当分流比为</w:t>
      </w:r>
      <w:r>
        <w:rPr>
          <w:rFonts w:hint="eastAsia"/>
        </w:rPr>
        <w:t>2</w:t>
      </w:r>
      <w:r>
        <w:rPr>
          <w:rFonts w:hint="eastAsia"/>
        </w:rPr>
        <w:t>：</w:t>
      </w:r>
      <w:r>
        <w:rPr>
          <w:rFonts w:hint="eastAsia"/>
        </w:rPr>
        <w:t>1</w:t>
      </w:r>
      <w:r>
        <w:rPr>
          <w:rFonts w:hint="eastAsia"/>
        </w:rPr>
        <w:t>时，既可以检出加标样品中的待测物，又可以达到较好的分离效果，因此，本方法中选取分流比为</w:t>
      </w:r>
      <w:r>
        <w:rPr>
          <w:rFonts w:hint="eastAsia"/>
        </w:rPr>
        <w:t>2</w:t>
      </w:r>
      <w:r>
        <w:rPr>
          <w:rFonts w:hint="eastAsia"/>
        </w:rPr>
        <w:t>：</w:t>
      </w:r>
      <w:r>
        <w:rPr>
          <w:rFonts w:hint="eastAsia"/>
        </w:rPr>
        <w:t>1</w:t>
      </w:r>
      <w:r>
        <w:rPr>
          <w:rFonts w:hint="eastAsia"/>
        </w:rPr>
        <w:t>。</w:t>
      </w:r>
    </w:p>
    <w:p w14:paraId="68659803" w14:textId="77777777" w:rsidR="00B66664" w:rsidRDefault="00264D9A">
      <w:pPr>
        <w:keepNext/>
        <w:ind w:firstLineChars="0" w:firstLine="0"/>
        <w:jc w:val="center"/>
      </w:pPr>
      <w:r>
        <w:rPr>
          <w:noProof/>
        </w:rPr>
        <w:drawing>
          <wp:inline distT="0" distB="0" distL="0" distR="0" wp14:anchorId="28AB1DC4" wp14:editId="47A1BAEC">
            <wp:extent cx="5688330" cy="3235325"/>
            <wp:effectExtent l="19050" t="0" r="7620" b="0"/>
            <wp:docPr id="5" name="pi16"/>
            <wp:cNvGraphicFramePr/>
            <a:graphic xmlns:a="http://schemas.openxmlformats.org/drawingml/2006/main">
              <a:graphicData uri="http://schemas.openxmlformats.org/drawingml/2006/picture">
                <pic:pic xmlns:pic="http://schemas.openxmlformats.org/drawingml/2006/picture">
                  <pic:nvPicPr>
                    <pic:cNvPr id="5" name="pi16"/>
                    <pic:cNvPicPr/>
                  </pic:nvPicPr>
                  <pic:blipFill>
                    <a:blip r:embed="rId18"/>
                    <a:srcRect/>
                    <a:stretch>
                      <a:fillRect/>
                    </a:stretch>
                  </pic:blipFill>
                  <pic:spPr>
                    <a:xfrm>
                      <a:off x="0" y="0"/>
                      <a:ext cx="5696631" cy="3240290"/>
                    </a:xfrm>
                    <a:prstGeom prst="rect">
                      <a:avLst/>
                    </a:prstGeom>
                  </pic:spPr>
                </pic:pic>
              </a:graphicData>
            </a:graphic>
          </wp:inline>
        </w:drawing>
      </w:r>
    </w:p>
    <w:p w14:paraId="1C858AC7" w14:textId="77777777" w:rsidR="00B66664" w:rsidRDefault="00264D9A">
      <w:pPr>
        <w:pStyle w:val="a3"/>
        <w:spacing w:after="156"/>
        <w:ind w:firstLine="480"/>
        <w:rPr>
          <w:rFonts w:ascii="黑体"/>
          <w:szCs w:val="24"/>
        </w:rPr>
      </w:pPr>
      <w:r>
        <w:rPr>
          <w:rFonts w:ascii="黑体" w:hint="eastAsia"/>
          <w:szCs w:val="24"/>
        </w:rPr>
        <w:t xml:space="preserve">图4 不同分流比对加标空白样品的检测谱图 </w:t>
      </w:r>
    </w:p>
    <w:p w14:paraId="4A29A60C" w14:textId="77777777" w:rsidR="00B66664" w:rsidRDefault="00264D9A">
      <w:pPr>
        <w:pStyle w:val="a9"/>
      </w:pPr>
      <w:r>
        <w:rPr>
          <w:rFonts w:hint="eastAsia"/>
        </w:rPr>
        <w:lastRenderedPageBreak/>
        <w:t>5.1.7</w:t>
      </w:r>
      <w:r>
        <w:rPr>
          <w:rFonts w:hint="eastAsia"/>
        </w:rPr>
        <w:t>色谱条件的确定</w:t>
      </w:r>
    </w:p>
    <w:p w14:paraId="3AD3E537" w14:textId="77777777" w:rsidR="00B66664" w:rsidRDefault="00264D9A">
      <w:pPr>
        <w:ind w:firstLine="560"/>
      </w:pPr>
      <w:r>
        <w:t>通过以上试验验证，推荐的气相色谱条件如下：</w:t>
      </w:r>
    </w:p>
    <w:p w14:paraId="6E0D3410" w14:textId="77777777" w:rsidR="00B66664" w:rsidRDefault="00264D9A">
      <w:pPr>
        <w:ind w:firstLine="560"/>
      </w:pPr>
      <w:r>
        <w:t>色谱柱：</w:t>
      </w:r>
      <w:r>
        <w:t>30 m×0.32 mm</w:t>
      </w:r>
      <w:r>
        <w:t>（</w:t>
      </w:r>
      <w:r>
        <w:t>i.d.</w:t>
      </w:r>
      <w:r>
        <w:t>）石英毛细管，内壁涂</w:t>
      </w:r>
      <w:r>
        <w:t>HP-5</w:t>
      </w:r>
      <w:r>
        <w:t>（</w:t>
      </w:r>
      <w:r>
        <w:t>5 %</w:t>
      </w:r>
      <w:r>
        <w:t>二苯基</w:t>
      </w:r>
      <w:r>
        <w:t>+95 %</w:t>
      </w:r>
      <w:r>
        <w:t>二甲基聚硅氧烷），膜厚</w:t>
      </w:r>
      <w:r>
        <w:t xml:space="preserve">0.25 </w:t>
      </w:r>
      <w:proofErr w:type="spellStart"/>
      <w:r>
        <w:t>μm</w:t>
      </w:r>
      <w:proofErr w:type="spellEnd"/>
      <w:r>
        <w:t>；柱室温度（程序升温）：初始温度</w:t>
      </w:r>
      <w:r>
        <w:t>60 ℃</w:t>
      </w:r>
      <w:r>
        <w:t>，保持</w:t>
      </w:r>
      <w:r>
        <w:t>1 min</w:t>
      </w:r>
      <w:r>
        <w:t>，以</w:t>
      </w:r>
      <w:r>
        <w:t>20℃/min</w:t>
      </w:r>
      <w:r>
        <w:t>升到</w:t>
      </w:r>
      <w:r>
        <w:t>300 ℃</w:t>
      </w:r>
      <w:r>
        <w:t>，保持</w:t>
      </w:r>
      <w:r>
        <w:t>3min</w:t>
      </w:r>
      <w:r>
        <w:t>；气化室温度：</w:t>
      </w:r>
      <w:r>
        <w:t>250 ℃</w:t>
      </w:r>
      <w:r>
        <w:t>；检测器温度：</w:t>
      </w:r>
      <w:r>
        <w:t>300 ℃</w:t>
      </w:r>
      <w:r>
        <w:t>；气体流量（</w:t>
      </w:r>
      <w:r>
        <w:t>mL/min</w:t>
      </w:r>
      <w:r>
        <w:t>）：载气</w:t>
      </w:r>
      <w:r>
        <w:t xml:space="preserve"> (N</w:t>
      </w:r>
      <w:r>
        <w:rPr>
          <w:vertAlign w:val="subscript"/>
        </w:rPr>
        <w:t>2</w:t>
      </w:r>
      <w:r>
        <w:t>) 1.5</w:t>
      </w:r>
      <w:r>
        <w:t>、氢气</w:t>
      </w:r>
      <w:r>
        <w:t>30</w:t>
      </w:r>
      <w:r>
        <w:t>、空气</w:t>
      </w:r>
      <w:r>
        <w:t>300</w:t>
      </w:r>
      <w:r>
        <w:t>、补偿气（</w:t>
      </w:r>
      <w:r>
        <w:t>N</w:t>
      </w:r>
      <w:r>
        <w:rPr>
          <w:vertAlign w:val="subscript"/>
        </w:rPr>
        <w:t>2</w:t>
      </w:r>
      <w:r>
        <w:t>）</w:t>
      </w:r>
      <w:r>
        <w:t>25</w:t>
      </w:r>
      <w:r>
        <w:t>；分流比：</w:t>
      </w:r>
      <w:r>
        <w:t>2</w:t>
      </w:r>
      <w:r>
        <w:t>：</w:t>
      </w:r>
      <w:r>
        <w:t>1</w:t>
      </w:r>
      <w:r>
        <w:t>；进样量：</w:t>
      </w:r>
      <w:r>
        <w:t xml:space="preserve">1 </w:t>
      </w:r>
      <w:proofErr w:type="spellStart"/>
      <w:r>
        <w:t>μL</w:t>
      </w:r>
      <w:proofErr w:type="spellEnd"/>
      <w:r>
        <w:t>。</w:t>
      </w:r>
    </w:p>
    <w:p w14:paraId="0B9335CA" w14:textId="77777777" w:rsidR="00B66664" w:rsidRDefault="00264D9A">
      <w:pPr>
        <w:ind w:firstLine="560"/>
      </w:pPr>
      <w:r>
        <w:rPr>
          <w:rFonts w:hint="eastAsia"/>
        </w:rPr>
        <w:t>通过该色谱条件获得的典型的胺鲜酯、多效唑标准物质气相色谱图见图</w:t>
      </w:r>
      <w:r>
        <w:rPr>
          <w:rFonts w:hint="eastAsia"/>
        </w:rPr>
        <w:t>5</w:t>
      </w:r>
      <w:r>
        <w:rPr>
          <w:rFonts w:hint="eastAsia"/>
        </w:rPr>
        <w:t>。</w:t>
      </w:r>
    </w:p>
    <w:p w14:paraId="2983301F" w14:textId="77777777" w:rsidR="00B66664" w:rsidRDefault="00264D9A">
      <w:pPr>
        <w:keepNext/>
        <w:ind w:firstLineChars="0" w:firstLine="0"/>
        <w:jc w:val="center"/>
      </w:pPr>
      <w:r>
        <w:rPr>
          <w:noProof/>
        </w:rPr>
        <w:drawing>
          <wp:inline distT="0" distB="0" distL="0" distR="0" wp14:anchorId="228CDDF5" wp14:editId="112BBAE7">
            <wp:extent cx="5996305" cy="2400300"/>
            <wp:effectExtent l="19050" t="0" r="4396" b="0"/>
            <wp:docPr id="2" name="pi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14"/>
                    <pic:cNvPicPr>
                      <a:picLocks noChangeAspect="1" noChangeArrowheads="1"/>
                    </pic:cNvPicPr>
                  </pic:nvPicPr>
                  <pic:blipFill>
                    <a:blip r:embed="rId19"/>
                    <a:srcRect/>
                    <a:stretch>
                      <a:fillRect/>
                    </a:stretch>
                  </pic:blipFill>
                  <pic:spPr>
                    <a:xfrm>
                      <a:off x="0" y="0"/>
                      <a:ext cx="5996354" cy="2400300"/>
                    </a:xfrm>
                    <a:prstGeom prst="rect">
                      <a:avLst/>
                    </a:prstGeom>
                    <a:noFill/>
                    <a:ln w="9525">
                      <a:noFill/>
                      <a:miter lim="800000"/>
                      <a:headEnd/>
                      <a:tailEnd/>
                    </a:ln>
                  </pic:spPr>
                </pic:pic>
              </a:graphicData>
            </a:graphic>
          </wp:inline>
        </w:drawing>
      </w:r>
    </w:p>
    <w:p w14:paraId="28D9CF68" w14:textId="77777777" w:rsidR="00B66664" w:rsidRDefault="00264D9A">
      <w:pPr>
        <w:pStyle w:val="a3"/>
        <w:spacing w:after="156"/>
        <w:ind w:firstLine="480"/>
        <w:rPr>
          <w:rFonts w:ascii="黑体"/>
          <w:szCs w:val="24"/>
        </w:rPr>
      </w:pPr>
      <w:r>
        <w:rPr>
          <w:rFonts w:ascii="黑体" w:hint="eastAsia"/>
          <w:szCs w:val="24"/>
        </w:rPr>
        <w:t xml:space="preserve">图5 胺鲜酯、多效唑标准物质色谱图 </w:t>
      </w:r>
    </w:p>
    <w:p w14:paraId="46F6A0D2" w14:textId="77777777" w:rsidR="00B66664" w:rsidRDefault="00264D9A">
      <w:pPr>
        <w:pStyle w:val="2"/>
      </w:pPr>
      <w:bookmarkStart w:id="13" w:name="_Toc654"/>
      <w:r>
        <w:rPr>
          <w:rFonts w:hint="eastAsia"/>
        </w:rPr>
        <w:t>5.2</w:t>
      </w:r>
      <w:r>
        <w:rPr>
          <w:rFonts w:hint="eastAsia"/>
        </w:rPr>
        <w:t>样品前处理条件的确立</w:t>
      </w:r>
      <w:bookmarkEnd w:id="13"/>
    </w:p>
    <w:p w14:paraId="7E848289" w14:textId="77777777" w:rsidR="00B66664" w:rsidRDefault="00264D9A">
      <w:pPr>
        <w:pStyle w:val="a9"/>
      </w:pPr>
      <w:r>
        <w:rPr>
          <w:rFonts w:hint="eastAsia"/>
        </w:rPr>
        <w:t xml:space="preserve">5.2.1 </w:t>
      </w:r>
      <w:r>
        <w:rPr>
          <w:rFonts w:hint="eastAsia"/>
        </w:rPr>
        <w:t>提取溶剂的选择</w:t>
      </w:r>
    </w:p>
    <w:p w14:paraId="3C90B157" w14:textId="77777777" w:rsidR="00B66664" w:rsidRDefault="00264D9A">
      <w:pPr>
        <w:ind w:firstLineChars="0" w:firstLine="0"/>
      </w:pPr>
      <w:r>
        <w:rPr>
          <w:rFonts w:hint="eastAsia"/>
        </w:rPr>
        <w:t xml:space="preserve">5.2.1.1 </w:t>
      </w:r>
      <w:r>
        <w:rPr>
          <w:rFonts w:hint="eastAsia"/>
        </w:rPr>
        <w:t>标准品在不同溶剂中的降解程度</w:t>
      </w:r>
    </w:p>
    <w:p w14:paraId="15F01BEB" w14:textId="77777777" w:rsidR="00B66664" w:rsidRDefault="00264D9A">
      <w:pPr>
        <w:ind w:firstLine="560"/>
      </w:pPr>
      <w:r>
        <w:rPr>
          <w:rFonts w:hint="eastAsia"/>
        </w:rPr>
        <w:t>胺鲜酯易溶于乙醇、甲醇、丙酮、氯仿等有机溶剂；多效唑易溶于甲醇、丙酮、环己酮等有机溶剂。在不同溶剂中的溶解性，拟定常用溶剂甲醇、丙酮为提取剂。将胺鲜酯、多效唑标准品溶解在两种不同溶剂中，在</w:t>
      </w:r>
      <w:r>
        <w:rPr>
          <w:rFonts w:hint="eastAsia"/>
        </w:rPr>
        <w:lastRenderedPageBreak/>
        <w:t>12h</w:t>
      </w:r>
      <w:r>
        <w:rPr>
          <w:rFonts w:hint="eastAsia"/>
        </w:rPr>
        <w:t>内以</w:t>
      </w:r>
      <w:r>
        <w:rPr>
          <w:rFonts w:hint="eastAsia"/>
        </w:rPr>
        <w:t>1.5h</w:t>
      </w:r>
      <w:r>
        <w:rPr>
          <w:rFonts w:hint="eastAsia"/>
        </w:rPr>
        <w:t>为梯度进行测试。测试中发现，多效唑在两种溶剂中均可以稳定存在，在</w:t>
      </w:r>
      <w:r>
        <w:rPr>
          <w:rFonts w:hint="eastAsia"/>
        </w:rPr>
        <w:t>12h</w:t>
      </w:r>
      <w:r>
        <w:rPr>
          <w:rFonts w:hint="eastAsia"/>
        </w:rPr>
        <w:t>内未降解；胺鲜酯标准品在丙酮中较稳定，</w:t>
      </w:r>
      <w:r>
        <w:rPr>
          <w:rFonts w:hint="eastAsia"/>
        </w:rPr>
        <w:t>12h</w:t>
      </w:r>
      <w:r>
        <w:rPr>
          <w:rFonts w:hint="eastAsia"/>
        </w:rPr>
        <w:t>内未出现降解现象，但在甲醇中降解较快，如图</w:t>
      </w:r>
      <w:r>
        <w:rPr>
          <w:rFonts w:hint="eastAsia"/>
        </w:rPr>
        <w:t>6</w:t>
      </w:r>
      <w:r>
        <w:rPr>
          <w:rFonts w:hint="eastAsia"/>
        </w:rPr>
        <w:t>所示，在</w:t>
      </w:r>
      <w:r>
        <w:rPr>
          <w:rFonts w:hint="eastAsia"/>
        </w:rPr>
        <w:t>12</w:t>
      </w:r>
      <w:r>
        <w:rPr>
          <w:rFonts w:hint="eastAsia"/>
        </w:rPr>
        <w:t>个小时内，胺鲜酯约降解至原含量的</w:t>
      </w:r>
      <w:r>
        <w:rPr>
          <w:rFonts w:hint="eastAsia"/>
        </w:rPr>
        <w:t>2/5</w:t>
      </w:r>
      <w:r>
        <w:rPr>
          <w:rFonts w:hint="eastAsia"/>
        </w:rPr>
        <w:t>。因此，本方法中选定标准品的稀释溶剂为丙酮。</w:t>
      </w:r>
    </w:p>
    <w:p w14:paraId="376BBA86" w14:textId="77777777" w:rsidR="00B66664" w:rsidRDefault="00264D9A">
      <w:pPr>
        <w:keepNext/>
        <w:ind w:firstLineChars="0" w:firstLine="0"/>
      </w:pPr>
      <w:r>
        <w:rPr>
          <w:noProof/>
        </w:rPr>
        <w:drawing>
          <wp:inline distT="0" distB="0" distL="0" distR="0" wp14:anchorId="55ADDA8D" wp14:editId="09A63AA1">
            <wp:extent cx="5486400" cy="3200400"/>
            <wp:effectExtent l="0" t="0" r="0" b="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3ADF6A57" w14:textId="77777777" w:rsidR="00B66664" w:rsidRDefault="00264D9A">
      <w:pPr>
        <w:pStyle w:val="a3"/>
        <w:spacing w:after="156"/>
        <w:ind w:firstLine="480"/>
        <w:rPr>
          <w:rFonts w:ascii="黑体"/>
          <w:szCs w:val="24"/>
        </w:rPr>
      </w:pPr>
      <w:r>
        <w:rPr>
          <w:rFonts w:ascii="黑体" w:hint="eastAsia"/>
          <w:szCs w:val="24"/>
        </w:rPr>
        <w:t>图6 胺鲜酯标准品在甲醇中的降解情况</w:t>
      </w:r>
    </w:p>
    <w:p w14:paraId="27FF6645" w14:textId="77777777" w:rsidR="00B66664" w:rsidRDefault="00264D9A">
      <w:pPr>
        <w:ind w:firstLineChars="0" w:firstLine="0"/>
      </w:pPr>
      <w:r>
        <w:rPr>
          <w:rFonts w:hint="eastAsia"/>
        </w:rPr>
        <w:t xml:space="preserve">5.2.1.2 </w:t>
      </w:r>
      <w:r>
        <w:rPr>
          <w:rFonts w:hint="eastAsia"/>
        </w:rPr>
        <w:t>样品在不同溶剂中的提取效果</w:t>
      </w:r>
    </w:p>
    <w:p w14:paraId="0C0336AB" w14:textId="77777777" w:rsidR="00B66664" w:rsidRDefault="00264D9A">
      <w:pPr>
        <w:ind w:firstLine="560"/>
      </w:pPr>
      <w:r>
        <w:rPr>
          <w:rFonts w:hint="eastAsia"/>
        </w:rPr>
        <w:t>本方法中使用甲醇、丙酮分别对不同肥料样品进行提取，经提取、检测发现，当样品检测量较少时，甲醇、丙酮两种提取溶剂对样品的重复性、加标回收率均可满足要求。当样品量较多时（连续进样约</w:t>
      </w:r>
      <w:r>
        <w:rPr>
          <w:rFonts w:hint="eastAsia"/>
        </w:rPr>
        <w:t>5h</w:t>
      </w:r>
      <w:r>
        <w:rPr>
          <w:rFonts w:hint="eastAsia"/>
        </w:rPr>
        <w:t>后），使用甲醇提取的样品会出现重复性差、回收率降低、仪器进样针发生堵塞、仪器废液瓶中出现结晶的现象，需更换仪器进样针、分流衬管后才能重新达到方法检测要求；以丙酮提取的不同肥料样品，连续</w:t>
      </w:r>
      <w:r>
        <w:rPr>
          <w:rFonts w:hint="eastAsia"/>
        </w:rPr>
        <w:t>48h</w:t>
      </w:r>
      <w:r>
        <w:rPr>
          <w:rFonts w:hint="eastAsia"/>
        </w:rPr>
        <w:t>进样检测后，重复性、回收率仍可满足要求，而且仪器进样针、分流衬管仍可正常运行，废液瓶中无结晶出现，可以达到批量检测的目的。因此，本方法中，最终选</w:t>
      </w:r>
      <w:r>
        <w:rPr>
          <w:rFonts w:hint="eastAsia"/>
        </w:rPr>
        <w:lastRenderedPageBreak/>
        <w:t>取丙酮为提取溶剂。</w:t>
      </w:r>
    </w:p>
    <w:p w14:paraId="7254EA2D" w14:textId="77777777" w:rsidR="00B66664" w:rsidRDefault="00264D9A">
      <w:pPr>
        <w:pStyle w:val="a9"/>
      </w:pPr>
      <w:r>
        <w:rPr>
          <w:rFonts w:hint="eastAsia"/>
        </w:rPr>
        <w:t xml:space="preserve">5.2.2 </w:t>
      </w:r>
      <w:r>
        <w:rPr>
          <w:rFonts w:hint="eastAsia"/>
        </w:rPr>
        <w:t>提取方式的选择</w:t>
      </w:r>
    </w:p>
    <w:p w14:paraId="3EA8B90F" w14:textId="77777777" w:rsidR="00B66664" w:rsidRDefault="00264D9A">
      <w:pPr>
        <w:ind w:firstLine="560"/>
      </w:pPr>
      <w:r>
        <w:rPr>
          <w:rFonts w:hint="eastAsia"/>
        </w:rPr>
        <w:t>超声和振荡是目前提取较常用的手段，超声提取可以使溶剂快速地进入固体物质中，将其物质所含的有机成分尽可能完全地溶于溶剂之中，得到多成分混合提取液，相对于机械振荡而言，超声提取效率更高。</w:t>
      </w:r>
    </w:p>
    <w:p w14:paraId="69D03FE6" w14:textId="77777777" w:rsidR="00B66664" w:rsidRDefault="00264D9A">
      <w:pPr>
        <w:ind w:firstLine="560"/>
      </w:pPr>
      <w:r>
        <w:rPr>
          <w:rFonts w:hint="eastAsia"/>
        </w:rPr>
        <w:t>考虑到不同肥料样品对提取液的溶解性不同，为了更好地提取样品中的待测物，使样品充分浸润分散，试验中使用超声提取，经测试，回收率可以达到检测要求。</w:t>
      </w:r>
    </w:p>
    <w:p w14:paraId="75305762" w14:textId="77777777" w:rsidR="00B66664" w:rsidRDefault="00264D9A">
      <w:pPr>
        <w:ind w:firstLine="560"/>
        <w:rPr>
          <w:bCs/>
        </w:rPr>
      </w:pPr>
      <w:r>
        <w:rPr>
          <w:rFonts w:hint="eastAsia"/>
          <w:bCs/>
        </w:rPr>
        <w:t>确定提取试剂后，对提取时超声时间进行选择，分别超声萃取</w:t>
      </w:r>
      <w:r>
        <w:rPr>
          <w:rFonts w:hint="eastAsia"/>
          <w:bCs/>
        </w:rPr>
        <w:t>10min</w:t>
      </w:r>
      <w:r>
        <w:rPr>
          <w:rFonts w:hint="eastAsia"/>
          <w:bCs/>
        </w:rPr>
        <w:t>、</w:t>
      </w:r>
      <w:r>
        <w:rPr>
          <w:rFonts w:hint="eastAsia"/>
          <w:bCs/>
        </w:rPr>
        <w:t>15min</w:t>
      </w:r>
      <w:r>
        <w:rPr>
          <w:rFonts w:hint="eastAsia"/>
          <w:bCs/>
        </w:rPr>
        <w:t>、</w:t>
      </w:r>
      <w:r>
        <w:rPr>
          <w:rFonts w:hint="eastAsia"/>
          <w:bCs/>
        </w:rPr>
        <w:t>20min</w:t>
      </w:r>
      <w:r>
        <w:rPr>
          <w:rFonts w:hint="eastAsia"/>
          <w:bCs/>
        </w:rPr>
        <w:t>、</w:t>
      </w:r>
      <w:r>
        <w:rPr>
          <w:rFonts w:hint="eastAsia"/>
          <w:bCs/>
        </w:rPr>
        <w:t>25min</w:t>
      </w:r>
      <w:r>
        <w:rPr>
          <w:rFonts w:hint="eastAsia"/>
          <w:bCs/>
        </w:rPr>
        <w:t>、</w:t>
      </w:r>
      <w:r>
        <w:rPr>
          <w:rFonts w:hint="eastAsia"/>
          <w:bCs/>
        </w:rPr>
        <w:t>3</w:t>
      </w:r>
      <w:r>
        <w:rPr>
          <w:bCs/>
        </w:rPr>
        <w:t>0min</w:t>
      </w:r>
      <w:r>
        <w:rPr>
          <w:rFonts w:hint="eastAsia"/>
          <w:bCs/>
        </w:rPr>
        <w:t>，同时在</w:t>
      </w:r>
      <w:r>
        <w:rPr>
          <w:rFonts w:hint="eastAsia"/>
          <w:bCs/>
        </w:rPr>
        <w:t xml:space="preserve">6000rmp </w:t>
      </w:r>
      <w:r>
        <w:rPr>
          <w:rFonts w:hint="eastAsia"/>
          <w:bCs/>
        </w:rPr>
        <w:t>离心</w:t>
      </w:r>
      <w:r>
        <w:rPr>
          <w:rFonts w:hint="eastAsia"/>
          <w:bCs/>
        </w:rPr>
        <w:t>5min</w:t>
      </w:r>
      <w:r>
        <w:rPr>
          <w:rFonts w:hint="eastAsia"/>
          <w:bCs/>
        </w:rPr>
        <w:t>，过</w:t>
      </w:r>
      <w:r>
        <w:rPr>
          <w:rFonts w:hint="eastAsia"/>
          <w:bCs/>
        </w:rPr>
        <w:t>0.45µm</w:t>
      </w:r>
      <w:r>
        <w:rPr>
          <w:rFonts w:hint="eastAsia"/>
          <w:bCs/>
        </w:rPr>
        <w:t>滤膜，经气相色谱检测后，发现在五组的重复性、加标回收率均可满足要求。其中</w:t>
      </w:r>
      <w:r>
        <w:rPr>
          <w:rFonts w:hint="eastAsia"/>
          <w:bCs/>
        </w:rPr>
        <w:t>15min</w:t>
      </w:r>
      <w:r>
        <w:rPr>
          <w:rFonts w:hint="eastAsia"/>
          <w:bCs/>
        </w:rPr>
        <w:t>、</w:t>
      </w:r>
      <w:r>
        <w:rPr>
          <w:rFonts w:hint="eastAsia"/>
          <w:bCs/>
        </w:rPr>
        <w:t>20min</w:t>
      </w:r>
      <w:r>
        <w:rPr>
          <w:rFonts w:hint="eastAsia"/>
          <w:bCs/>
        </w:rPr>
        <w:t>、</w:t>
      </w:r>
      <w:r>
        <w:rPr>
          <w:rFonts w:hint="eastAsia"/>
          <w:bCs/>
        </w:rPr>
        <w:t>25min</w:t>
      </w:r>
      <w:r>
        <w:rPr>
          <w:rFonts w:hint="eastAsia"/>
          <w:bCs/>
        </w:rPr>
        <w:t>、</w:t>
      </w:r>
      <w:r>
        <w:rPr>
          <w:rFonts w:hint="eastAsia"/>
          <w:bCs/>
        </w:rPr>
        <w:t>30min</w:t>
      </w:r>
      <w:r>
        <w:rPr>
          <w:rFonts w:hint="eastAsia"/>
          <w:bCs/>
        </w:rPr>
        <w:t>的平均回收率更接近</w:t>
      </w:r>
      <w:r>
        <w:rPr>
          <w:rFonts w:hint="eastAsia"/>
          <w:bCs/>
        </w:rPr>
        <w:t>100%</w:t>
      </w:r>
      <w:r>
        <w:rPr>
          <w:rFonts w:hint="eastAsia"/>
          <w:bCs/>
        </w:rPr>
        <w:t>，几乎没有差别，故确定其超声萃取时间为</w:t>
      </w:r>
      <w:r>
        <w:rPr>
          <w:rFonts w:hint="eastAsia"/>
          <w:bCs/>
        </w:rPr>
        <w:t>15min</w:t>
      </w:r>
      <w:r>
        <w:rPr>
          <w:rFonts w:hint="eastAsia"/>
          <w:bCs/>
        </w:rPr>
        <w:t>。</w:t>
      </w:r>
    </w:p>
    <w:p w14:paraId="5A953BF7" w14:textId="77777777" w:rsidR="00B66664" w:rsidRDefault="00264D9A">
      <w:pPr>
        <w:pStyle w:val="a9"/>
      </w:pPr>
      <w:r>
        <w:rPr>
          <w:rFonts w:hint="eastAsia"/>
        </w:rPr>
        <w:t xml:space="preserve">5.2.3 </w:t>
      </w:r>
      <w:r>
        <w:rPr>
          <w:rFonts w:hint="eastAsia"/>
        </w:rPr>
        <w:t>净化条件的选择</w:t>
      </w:r>
    </w:p>
    <w:p w14:paraId="2A2A6C31" w14:textId="77777777" w:rsidR="00B66664" w:rsidRDefault="00264D9A">
      <w:pPr>
        <w:ind w:firstLine="560"/>
      </w:pPr>
      <w:r>
        <w:rPr>
          <w:rFonts w:hint="eastAsia"/>
        </w:rPr>
        <w:t>目前肥料产品如水溶肥料、有机肥料成分较为复杂，除部分无机盐以外，常会有氨基酸、腐植酸、有机质、海藻酸、壳聚糖等有机成分。有机成分可能会随超声提取溶解在溶剂中，从而对待测物的检测造成干扰。</w:t>
      </w:r>
    </w:p>
    <w:p w14:paraId="38855823" w14:textId="77777777" w:rsidR="00B66664" w:rsidRDefault="00264D9A">
      <w:pPr>
        <w:ind w:firstLine="560"/>
        <w:rPr>
          <w:color w:val="FF0000"/>
        </w:rPr>
      </w:pPr>
      <w:r>
        <w:rPr>
          <w:rFonts w:hint="eastAsia"/>
        </w:rPr>
        <w:t>PSA(N-</w:t>
      </w:r>
      <w:r>
        <w:rPr>
          <w:rFonts w:hint="eastAsia"/>
        </w:rPr>
        <w:t>丙基乙二胺</w:t>
      </w:r>
      <w:r>
        <w:rPr>
          <w:rFonts w:hint="eastAsia"/>
        </w:rPr>
        <w:t>)</w:t>
      </w:r>
      <w:r>
        <w:rPr>
          <w:rFonts w:hint="eastAsia"/>
        </w:rPr>
        <w:t>常用于农药残留分析，作为吸附剂吸附杂质，是农药残留分析前处理中常用净化剂，可以有效去除样品基质中的有机酸、色素和糖类杂质。</w:t>
      </w:r>
    </w:p>
    <w:p w14:paraId="6E93035D" w14:textId="77777777" w:rsidR="00B66664" w:rsidRDefault="00264D9A">
      <w:pPr>
        <w:ind w:firstLine="560"/>
      </w:pPr>
      <w:r>
        <w:rPr>
          <w:rFonts w:hint="eastAsia"/>
        </w:rPr>
        <w:t>本试验中，选取</w:t>
      </w:r>
      <w:r>
        <w:rPr>
          <w:rFonts w:hint="eastAsia"/>
        </w:rPr>
        <w:t>PSA</w:t>
      </w:r>
      <w:r>
        <w:rPr>
          <w:rFonts w:hint="eastAsia"/>
        </w:rPr>
        <w:t>、</w:t>
      </w:r>
      <w:r>
        <w:rPr>
          <w:rFonts w:hint="eastAsia"/>
        </w:rPr>
        <w:t>C18</w:t>
      </w:r>
      <w:r>
        <w:rPr>
          <w:rFonts w:hint="eastAsia"/>
        </w:rPr>
        <w:t>为净化剂，分别对固体水溶肥料样品、液体水溶肥料样品、有机肥料样品进行试验。称取一组固体水溶肥料样品、</w:t>
      </w:r>
      <w:r>
        <w:rPr>
          <w:rFonts w:hint="eastAsia"/>
        </w:rPr>
        <w:lastRenderedPageBreak/>
        <w:t>液体水溶肥料样品、有机肥料样品为净化组，经丙</w:t>
      </w:r>
      <w:r>
        <w:t>酮提取后，在提取液中加入</w:t>
      </w:r>
      <w:r>
        <w:t>PSA</w:t>
      </w:r>
      <w:r>
        <w:t>、</w:t>
      </w:r>
      <w:r>
        <w:t>C18</w:t>
      </w:r>
      <w:r>
        <w:t>吸附剂后涡旋</w:t>
      </w:r>
      <w:r>
        <w:t>30s</w:t>
      </w:r>
      <w:r>
        <w:t>，离心，取上清液过</w:t>
      </w:r>
      <w:r>
        <w:t xml:space="preserve">0.45 </w:t>
      </w:r>
      <w:proofErr w:type="spellStart"/>
      <w:r>
        <w:t>μm</w:t>
      </w:r>
      <w:proofErr w:type="spellEnd"/>
      <w:r>
        <w:t>有机相滤膜，待测。</w:t>
      </w:r>
      <w:r>
        <w:rPr>
          <w:rFonts w:hint="eastAsia"/>
        </w:rPr>
        <w:t>同时称取另一组固体水溶肥料样品、</w:t>
      </w:r>
      <w:r>
        <w:t>液体水溶肥料样品、有机肥料样品</w:t>
      </w:r>
      <w:r>
        <w:rPr>
          <w:rFonts w:hint="eastAsia"/>
        </w:rPr>
        <w:t>为未净化组</w:t>
      </w:r>
      <w:r>
        <w:t>，经丙酮提取后，直接离心，取上清液过</w:t>
      </w:r>
      <w:r>
        <w:t xml:space="preserve">0.45 </w:t>
      </w:r>
      <w:proofErr w:type="spellStart"/>
      <w:r>
        <w:t>μm</w:t>
      </w:r>
      <w:proofErr w:type="spellEnd"/>
      <w:r>
        <w:t>有机相滤膜，待测。</w:t>
      </w:r>
      <w:r>
        <w:rPr>
          <w:rFonts w:hint="eastAsia"/>
        </w:rPr>
        <w:t>将两组样品的测试结果进行对比，两组的重复性、加标回收率均可满足检测要求。</w:t>
      </w:r>
    </w:p>
    <w:p w14:paraId="18F50006" w14:textId="77777777" w:rsidR="00B66664" w:rsidRDefault="00264D9A">
      <w:pPr>
        <w:ind w:firstLine="560"/>
      </w:pPr>
      <w:r>
        <w:rPr>
          <w:rFonts w:hint="eastAsia"/>
        </w:rPr>
        <w:t>然而，净化组中吸附剂对样品的净化效果并不明显，固体水溶肥料样品净化组与未净化组色谱图如图</w:t>
      </w:r>
      <w:r>
        <w:rPr>
          <w:rFonts w:hint="eastAsia"/>
        </w:rPr>
        <w:t>7</w:t>
      </w:r>
      <w:r>
        <w:rPr>
          <w:rFonts w:hint="eastAsia"/>
        </w:rPr>
        <w:t>所示，液体水溶肥料样品净化组与未净化组色谱图如图</w:t>
      </w:r>
      <w:r>
        <w:rPr>
          <w:rFonts w:hint="eastAsia"/>
        </w:rPr>
        <w:t>8</w:t>
      </w:r>
      <w:r>
        <w:rPr>
          <w:rFonts w:hint="eastAsia"/>
        </w:rPr>
        <w:t>所示，有机肥料样品净化组与未净化组色谱图如图</w:t>
      </w:r>
      <w:r>
        <w:rPr>
          <w:rFonts w:hint="eastAsia"/>
        </w:rPr>
        <w:t>9</w:t>
      </w:r>
      <w:r>
        <w:rPr>
          <w:rFonts w:hint="eastAsia"/>
        </w:rPr>
        <w:t>所示。</w:t>
      </w:r>
    </w:p>
    <w:p w14:paraId="0A0E95C3" w14:textId="77777777" w:rsidR="00B66664" w:rsidRDefault="00264D9A">
      <w:pPr>
        <w:keepNext/>
        <w:ind w:firstLineChars="0" w:firstLine="0"/>
        <w:jc w:val="center"/>
      </w:pPr>
      <w:r>
        <w:rPr>
          <w:noProof/>
        </w:rPr>
        <w:drawing>
          <wp:inline distT="0" distB="0" distL="0" distR="0" wp14:anchorId="4923D913" wp14:editId="7F4B9CA5">
            <wp:extent cx="5132705" cy="2936240"/>
            <wp:effectExtent l="19050" t="0" r="0" b="0"/>
            <wp:docPr id="13" name="pi5"/>
            <wp:cNvGraphicFramePr/>
            <a:graphic xmlns:a="http://schemas.openxmlformats.org/drawingml/2006/main">
              <a:graphicData uri="http://schemas.openxmlformats.org/drawingml/2006/picture">
                <pic:pic xmlns:pic="http://schemas.openxmlformats.org/drawingml/2006/picture">
                  <pic:nvPicPr>
                    <pic:cNvPr id="13" name="pi5"/>
                    <pic:cNvPicPr/>
                  </pic:nvPicPr>
                  <pic:blipFill>
                    <a:blip r:embed="rId21"/>
                    <a:srcRect/>
                    <a:stretch>
                      <a:fillRect/>
                    </a:stretch>
                  </pic:blipFill>
                  <pic:spPr>
                    <a:xfrm>
                      <a:off x="0" y="0"/>
                      <a:ext cx="5140730" cy="2940915"/>
                    </a:xfrm>
                    <a:prstGeom prst="rect">
                      <a:avLst/>
                    </a:prstGeom>
                  </pic:spPr>
                </pic:pic>
              </a:graphicData>
            </a:graphic>
          </wp:inline>
        </w:drawing>
      </w:r>
    </w:p>
    <w:p w14:paraId="6C941A6D" w14:textId="77777777" w:rsidR="00B66664" w:rsidRDefault="00264D9A">
      <w:pPr>
        <w:pStyle w:val="a3"/>
        <w:spacing w:after="156"/>
        <w:ind w:firstLine="480"/>
      </w:pPr>
      <w:r>
        <w:rPr>
          <w:rFonts w:hint="eastAsia"/>
        </w:rPr>
        <w:t>图</w:t>
      </w:r>
      <w:r>
        <w:rPr>
          <w:rFonts w:hint="eastAsia"/>
        </w:rPr>
        <w:t xml:space="preserve">7 </w:t>
      </w:r>
      <w:r>
        <w:rPr>
          <w:rFonts w:hint="eastAsia"/>
        </w:rPr>
        <w:t>固体水溶肥料产品色谱图</w:t>
      </w:r>
    </w:p>
    <w:p w14:paraId="08C6B778" w14:textId="77777777" w:rsidR="00B66664" w:rsidRDefault="00264D9A">
      <w:pPr>
        <w:keepNext/>
        <w:ind w:firstLineChars="0" w:firstLine="0"/>
        <w:jc w:val="center"/>
      </w:pPr>
      <w:r>
        <w:rPr>
          <w:noProof/>
        </w:rPr>
        <w:lastRenderedPageBreak/>
        <w:drawing>
          <wp:inline distT="0" distB="0" distL="0" distR="0" wp14:anchorId="12C5519E" wp14:editId="36D8CEA0">
            <wp:extent cx="5080000" cy="2778125"/>
            <wp:effectExtent l="19050" t="0" r="5861" b="0"/>
            <wp:docPr id="9" name="pi111"/>
            <wp:cNvGraphicFramePr/>
            <a:graphic xmlns:a="http://schemas.openxmlformats.org/drawingml/2006/main">
              <a:graphicData uri="http://schemas.openxmlformats.org/drawingml/2006/picture">
                <pic:pic xmlns:pic="http://schemas.openxmlformats.org/drawingml/2006/picture">
                  <pic:nvPicPr>
                    <pic:cNvPr id="9" name="pi111"/>
                    <pic:cNvPicPr/>
                  </pic:nvPicPr>
                  <pic:blipFill>
                    <a:blip r:embed="rId22"/>
                    <a:srcRect/>
                    <a:stretch>
                      <a:fillRect/>
                    </a:stretch>
                  </pic:blipFill>
                  <pic:spPr>
                    <a:xfrm>
                      <a:off x="0" y="0"/>
                      <a:ext cx="5087902" cy="2782422"/>
                    </a:xfrm>
                    <a:prstGeom prst="rect">
                      <a:avLst/>
                    </a:prstGeom>
                  </pic:spPr>
                </pic:pic>
              </a:graphicData>
            </a:graphic>
          </wp:inline>
        </w:drawing>
      </w:r>
    </w:p>
    <w:p w14:paraId="4A79316A" w14:textId="77777777" w:rsidR="00B66664" w:rsidRDefault="00264D9A">
      <w:pPr>
        <w:pStyle w:val="a3"/>
        <w:spacing w:after="156"/>
        <w:ind w:firstLine="480"/>
      </w:pPr>
      <w:r>
        <w:rPr>
          <w:rFonts w:hint="eastAsia"/>
        </w:rPr>
        <w:t>图</w:t>
      </w:r>
      <w:r>
        <w:rPr>
          <w:rFonts w:hint="eastAsia"/>
        </w:rPr>
        <w:t xml:space="preserve">8 </w:t>
      </w:r>
      <w:r>
        <w:rPr>
          <w:rFonts w:hint="eastAsia"/>
        </w:rPr>
        <w:t>液体水溶肥料产品色谱图</w:t>
      </w:r>
    </w:p>
    <w:p w14:paraId="2669798A" w14:textId="77777777" w:rsidR="00B66664" w:rsidRDefault="00B66664">
      <w:pPr>
        <w:ind w:firstLineChars="0" w:firstLine="0"/>
        <w:jc w:val="center"/>
      </w:pPr>
    </w:p>
    <w:p w14:paraId="3768684B" w14:textId="77777777" w:rsidR="00B66664" w:rsidRDefault="00264D9A">
      <w:pPr>
        <w:keepNext/>
        <w:ind w:firstLineChars="0" w:firstLine="0"/>
        <w:jc w:val="center"/>
      </w:pPr>
      <w:r>
        <w:rPr>
          <w:noProof/>
        </w:rPr>
        <w:drawing>
          <wp:inline distT="0" distB="0" distL="0" distR="0" wp14:anchorId="367B9AC1" wp14:editId="3EECB4A8">
            <wp:extent cx="5036185" cy="2874645"/>
            <wp:effectExtent l="19050" t="0" r="0" b="0"/>
            <wp:docPr id="10" name="pi113"/>
            <wp:cNvGraphicFramePr/>
            <a:graphic xmlns:a="http://schemas.openxmlformats.org/drawingml/2006/main">
              <a:graphicData uri="http://schemas.openxmlformats.org/drawingml/2006/picture">
                <pic:pic xmlns:pic="http://schemas.openxmlformats.org/drawingml/2006/picture">
                  <pic:nvPicPr>
                    <pic:cNvPr id="10" name="pi113"/>
                    <pic:cNvPicPr/>
                  </pic:nvPicPr>
                  <pic:blipFill>
                    <a:blip r:embed="rId23"/>
                    <a:srcRect/>
                    <a:stretch>
                      <a:fillRect/>
                    </a:stretch>
                  </pic:blipFill>
                  <pic:spPr>
                    <a:xfrm>
                      <a:off x="0" y="0"/>
                      <a:ext cx="5043877" cy="2879280"/>
                    </a:xfrm>
                    <a:prstGeom prst="rect">
                      <a:avLst/>
                    </a:prstGeom>
                  </pic:spPr>
                </pic:pic>
              </a:graphicData>
            </a:graphic>
          </wp:inline>
        </w:drawing>
      </w:r>
    </w:p>
    <w:p w14:paraId="3B75D1D3" w14:textId="77777777" w:rsidR="00B66664" w:rsidRDefault="00264D9A">
      <w:pPr>
        <w:pStyle w:val="a3"/>
        <w:spacing w:after="156"/>
        <w:ind w:firstLine="480"/>
      </w:pPr>
      <w:r>
        <w:rPr>
          <w:rFonts w:hint="eastAsia"/>
        </w:rPr>
        <w:t>图</w:t>
      </w:r>
      <w:r>
        <w:rPr>
          <w:rFonts w:hint="eastAsia"/>
        </w:rPr>
        <w:t xml:space="preserve">9 </w:t>
      </w:r>
      <w:r>
        <w:rPr>
          <w:rFonts w:hint="eastAsia"/>
        </w:rPr>
        <w:t>有机肥料产品色谱图</w:t>
      </w:r>
    </w:p>
    <w:p w14:paraId="31FF578E" w14:textId="77777777" w:rsidR="00B66664" w:rsidRDefault="00264D9A">
      <w:pPr>
        <w:ind w:firstLine="560"/>
      </w:pPr>
      <w:r>
        <w:rPr>
          <w:rFonts w:hint="eastAsia"/>
        </w:rPr>
        <w:t>由图</w:t>
      </w:r>
      <w:r>
        <w:rPr>
          <w:rFonts w:hint="eastAsia"/>
        </w:rPr>
        <w:t>7</w:t>
      </w:r>
      <w:r>
        <w:rPr>
          <w:rFonts w:hint="eastAsia"/>
        </w:rPr>
        <w:t>、图</w:t>
      </w:r>
      <w:r>
        <w:rPr>
          <w:rFonts w:hint="eastAsia"/>
        </w:rPr>
        <w:t>8</w:t>
      </w:r>
      <w:r>
        <w:rPr>
          <w:rFonts w:hint="eastAsia"/>
        </w:rPr>
        <w:t>、图</w:t>
      </w:r>
      <w:r>
        <w:rPr>
          <w:rFonts w:hint="eastAsia"/>
        </w:rPr>
        <w:t>9</w:t>
      </w:r>
      <w:r>
        <w:rPr>
          <w:rFonts w:hint="eastAsia"/>
        </w:rPr>
        <w:t>可见，吸附剂对三种不同肥料的净化效果并不明显，与未净化样品的检测效果基本相同，因此，本试验中，未对提取液进行净化。</w:t>
      </w:r>
    </w:p>
    <w:p w14:paraId="2BCEBC80" w14:textId="77777777" w:rsidR="00B66664" w:rsidRDefault="00264D9A">
      <w:pPr>
        <w:pStyle w:val="a9"/>
      </w:pPr>
      <w:r>
        <w:rPr>
          <w:rFonts w:hint="eastAsia"/>
        </w:rPr>
        <w:t xml:space="preserve">5.2.4 </w:t>
      </w:r>
      <w:r>
        <w:rPr>
          <w:rFonts w:hint="eastAsia"/>
        </w:rPr>
        <w:t>样品前处理方法的确定</w:t>
      </w:r>
    </w:p>
    <w:p w14:paraId="35225324" w14:textId="77777777" w:rsidR="00B66664" w:rsidRDefault="00264D9A">
      <w:pPr>
        <w:ind w:firstLine="560"/>
      </w:pPr>
      <w:r>
        <w:t>液体样品：称取</w:t>
      </w:r>
      <w:r>
        <w:t>0.1 g</w:t>
      </w:r>
      <w:r>
        <w:t>～</w:t>
      </w:r>
      <w:r>
        <w:t>0.5g</w:t>
      </w:r>
      <w:r>
        <w:t>样品于具塞离心管中，氮吹至近干，准确</w:t>
      </w:r>
      <w:r>
        <w:lastRenderedPageBreak/>
        <w:t>加入</w:t>
      </w:r>
      <w:r>
        <w:t>10mL</w:t>
      </w:r>
      <w:r>
        <w:t>丙酮，涡旋</w:t>
      </w:r>
      <w:r>
        <w:t>1 min</w:t>
      </w:r>
      <w:r>
        <w:t>，超声</w:t>
      </w:r>
      <w:r>
        <w:t>15 min</w:t>
      </w:r>
      <w:r>
        <w:t>，以</w:t>
      </w:r>
      <w:r>
        <w:t>6 000 r/min</w:t>
      </w:r>
      <w:r>
        <w:t>高速离心</w:t>
      </w:r>
      <w:r>
        <w:t>5 min</w:t>
      </w:r>
      <w:r>
        <w:t>，取</w:t>
      </w:r>
      <w:r>
        <w:t>1 mL</w:t>
      </w:r>
      <w:r>
        <w:t>上清液过</w:t>
      </w:r>
      <w:r>
        <w:t xml:space="preserve">0.45 </w:t>
      </w:r>
      <w:proofErr w:type="spellStart"/>
      <w:r>
        <w:t>μm</w:t>
      </w:r>
      <w:proofErr w:type="spellEnd"/>
      <w:r>
        <w:t>有机相滤膜，待测。</w:t>
      </w:r>
    </w:p>
    <w:p w14:paraId="00DC615A" w14:textId="77777777" w:rsidR="00B66664" w:rsidRDefault="00264D9A">
      <w:pPr>
        <w:ind w:firstLine="560"/>
      </w:pPr>
      <w:r>
        <w:t>固体样品：称取粉碎后，过</w:t>
      </w:r>
      <w:r>
        <w:t>0.5mm</w:t>
      </w:r>
      <w:r>
        <w:t>筛的样品</w:t>
      </w:r>
      <w:r>
        <w:t>0.1 g</w:t>
      </w:r>
      <w:r>
        <w:t>～</w:t>
      </w:r>
      <w:r>
        <w:t>0.5g</w:t>
      </w:r>
      <w:r>
        <w:t>样品于具塞离心管中，准确加入</w:t>
      </w:r>
      <w:r>
        <w:t>10mL</w:t>
      </w:r>
      <w:r>
        <w:t>丙酮，后续提取步骤同上。</w:t>
      </w:r>
    </w:p>
    <w:p w14:paraId="218F61EF" w14:textId="77777777" w:rsidR="00B66664" w:rsidRDefault="00264D9A">
      <w:pPr>
        <w:pStyle w:val="2"/>
      </w:pPr>
      <w:bookmarkStart w:id="14" w:name="_Toc437531453"/>
      <w:bookmarkStart w:id="15" w:name="_Toc437604561"/>
      <w:bookmarkStart w:id="16" w:name="_Toc437601811"/>
      <w:bookmarkStart w:id="17" w:name="_Toc437604014"/>
      <w:bookmarkStart w:id="18" w:name="_Toc437521306"/>
      <w:bookmarkStart w:id="19" w:name="_Toc3265"/>
      <w:r>
        <w:rPr>
          <w:rFonts w:hint="eastAsia"/>
        </w:rPr>
        <w:t>5.3</w:t>
      </w:r>
      <w:r>
        <w:rPr>
          <w:rFonts w:hint="eastAsia"/>
        </w:rPr>
        <w:t>线性范围</w:t>
      </w:r>
      <w:bookmarkEnd w:id="14"/>
      <w:bookmarkEnd w:id="15"/>
      <w:bookmarkEnd w:id="16"/>
      <w:bookmarkEnd w:id="17"/>
      <w:bookmarkEnd w:id="18"/>
      <w:bookmarkEnd w:id="19"/>
    </w:p>
    <w:p w14:paraId="14ACD60F" w14:textId="77777777" w:rsidR="00B66664" w:rsidRDefault="00264D9A">
      <w:pPr>
        <w:pStyle w:val="a9"/>
      </w:pPr>
      <w:r>
        <w:rPr>
          <w:rFonts w:hint="eastAsia"/>
        </w:rPr>
        <w:t xml:space="preserve">5.3.1 </w:t>
      </w:r>
      <w:r>
        <w:rPr>
          <w:rFonts w:hint="eastAsia"/>
        </w:rPr>
        <w:t>胺鲜酯线性范围</w:t>
      </w:r>
    </w:p>
    <w:p w14:paraId="459CC053" w14:textId="77777777" w:rsidR="00B66664" w:rsidRDefault="00264D9A">
      <w:pPr>
        <w:ind w:firstLine="560"/>
      </w:pPr>
      <w:r>
        <w:rPr>
          <w:rFonts w:hint="eastAsia"/>
        </w:rPr>
        <w:t>对胺鲜酯在</w:t>
      </w:r>
      <w:r>
        <w:rPr>
          <w:rFonts w:hint="eastAsia"/>
        </w:rPr>
        <w:t>5µg/mL</w:t>
      </w:r>
      <w:r>
        <w:rPr>
          <w:rFonts w:hint="eastAsia"/>
        </w:rPr>
        <w:t>～</w:t>
      </w:r>
      <w:r>
        <w:rPr>
          <w:rFonts w:hint="eastAsia"/>
        </w:rPr>
        <w:t>100 µg/mL</w:t>
      </w:r>
      <w:r>
        <w:rPr>
          <w:rFonts w:hint="eastAsia"/>
        </w:rPr>
        <w:t>一系列质量浓度的标准溶液按浓度从低到高依次分析测定，其线性范围、线性回归方程、相关系数见表</w:t>
      </w:r>
      <w:r>
        <w:rPr>
          <w:rFonts w:hint="eastAsia"/>
        </w:rPr>
        <w:t>1</w:t>
      </w:r>
      <w:r>
        <w:rPr>
          <w:rFonts w:hint="eastAsia"/>
        </w:rPr>
        <w:t>。</w:t>
      </w:r>
    </w:p>
    <w:p w14:paraId="298AFB32" w14:textId="77777777" w:rsidR="00B66664" w:rsidRDefault="00264D9A">
      <w:pPr>
        <w:pStyle w:val="a3"/>
        <w:spacing w:after="156"/>
        <w:ind w:firstLine="480"/>
      </w:pPr>
      <w:r>
        <w:rPr>
          <w:rFonts w:hint="eastAsia"/>
        </w:rPr>
        <w:t>表</w:t>
      </w:r>
      <w:r>
        <w:rPr>
          <w:rFonts w:hint="eastAsia"/>
        </w:rPr>
        <w:t xml:space="preserve">1  </w:t>
      </w:r>
      <w:r>
        <w:rPr>
          <w:rFonts w:hint="eastAsia"/>
        </w:rPr>
        <w:t>胺鲜酯线性范围、线性方程、相关系数</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105"/>
        <w:gridCol w:w="1106"/>
        <w:gridCol w:w="1106"/>
        <w:gridCol w:w="1106"/>
        <w:gridCol w:w="1106"/>
      </w:tblGrid>
      <w:tr w:rsidR="00B66664" w14:paraId="714B18D9" w14:textId="77777777">
        <w:trPr>
          <w:jc w:val="center"/>
        </w:trPr>
        <w:tc>
          <w:tcPr>
            <w:tcW w:w="2943" w:type="dxa"/>
            <w:tcBorders>
              <w:left w:val="nil"/>
              <w:bottom w:val="single" w:sz="4" w:space="0" w:color="auto"/>
              <w:right w:val="nil"/>
            </w:tcBorders>
            <w:vAlign w:val="center"/>
          </w:tcPr>
          <w:p w14:paraId="53D37073" w14:textId="77777777" w:rsidR="00B66664" w:rsidRDefault="00264D9A">
            <w:pPr>
              <w:adjustRightInd w:val="0"/>
              <w:snapToGrid w:val="0"/>
              <w:spacing w:line="360" w:lineRule="auto"/>
              <w:ind w:firstLineChars="0" w:firstLine="0"/>
              <w:jc w:val="center"/>
              <w:rPr>
                <w:rFonts w:eastAsiaTheme="minorEastAsia"/>
                <w:sz w:val="24"/>
              </w:rPr>
            </w:pPr>
            <w:r>
              <w:rPr>
                <w:rFonts w:eastAsiaTheme="minorEastAsia" w:hAnsiTheme="minorEastAsia"/>
                <w:sz w:val="24"/>
              </w:rPr>
              <w:t>标准溶液系列</w:t>
            </w:r>
            <w:r>
              <w:rPr>
                <w:rFonts w:eastAsiaTheme="minorEastAsia"/>
                <w:sz w:val="24"/>
              </w:rPr>
              <w:t>(µg /mL)</w:t>
            </w:r>
          </w:p>
        </w:tc>
        <w:tc>
          <w:tcPr>
            <w:tcW w:w="1105" w:type="dxa"/>
            <w:tcBorders>
              <w:left w:val="nil"/>
              <w:bottom w:val="single" w:sz="4" w:space="0" w:color="auto"/>
              <w:right w:val="nil"/>
            </w:tcBorders>
            <w:vAlign w:val="center"/>
          </w:tcPr>
          <w:p w14:paraId="718DC9F6" w14:textId="77777777" w:rsidR="00B66664" w:rsidRDefault="00264D9A">
            <w:pPr>
              <w:adjustRightInd w:val="0"/>
              <w:snapToGrid w:val="0"/>
              <w:spacing w:line="360" w:lineRule="auto"/>
              <w:ind w:firstLineChars="0" w:firstLine="0"/>
              <w:jc w:val="center"/>
              <w:rPr>
                <w:rFonts w:eastAsiaTheme="minorEastAsia"/>
                <w:sz w:val="24"/>
              </w:rPr>
            </w:pPr>
            <w:r>
              <w:rPr>
                <w:rFonts w:eastAsiaTheme="minorEastAsia"/>
                <w:sz w:val="24"/>
              </w:rPr>
              <w:t>5.0</w:t>
            </w:r>
          </w:p>
        </w:tc>
        <w:tc>
          <w:tcPr>
            <w:tcW w:w="1106" w:type="dxa"/>
            <w:tcBorders>
              <w:left w:val="nil"/>
              <w:bottom w:val="single" w:sz="4" w:space="0" w:color="auto"/>
              <w:right w:val="nil"/>
            </w:tcBorders>
            <w:vAlign w:val="center"/>
          </w:tcPr>
          <w:p w14:paraId="6789C891" w14:textId="77777777" w:rsidR="00B66664" w:rsidRDefault="00264D9A">
            <w:pPr>
              <w:adjustRightInd w:val="0"/>
              <w:snapToGrid w:val="0"/>
              <w:spacing w:line="360" w:lineRule="auto"/>
              <w:ind w:firstLineChars="0" w:firstLine="0"/>
              <w:jc w:val="center"/>
              <w:rPr>
                <w:rFonts w:eastAsiaTheme="minorEastAsia"/>
                <w:sz w:val="24"/>
              </w:rPr>
            </w:pPr>
            <w:r>
              <w:rPr>
                <w:rFonts w:eastAsiaTheme="minorEastAsia"/>
                <w:sz w:val="24"/>
              </w:rPr>
              <w:t>25</w:t>
            </w:r>
          </w:p>
        </w:tc>
        <w:tc>
          <w:tcPr>
            <w:tcW w:w="1106" w:type="dxa"/>
            <w:tcBorders>
              <w:left w:val="nil"/>
              <w:bottom w:val="single" w:sz="4" w:space="0" w:color="auto"/>
              <w:right w:val="nil"/>
            </w:tcBorders>
            <w:vAlign w:val="center"/>
          </w:tcPr>
          <w:p w14:paraId="2BE05997" w14:textId="77777777" w:rsidR="00B66664" w:rsidRDefault="00264D9A">
            <w:pPr>
              <w:adjustRightInd w:val="0"/>
              <w:snapToGrid w:val="0"/>
              <w:spacing w:line="360" w:lineRule="auto"/>
              <w:ind w:firstLineChars="0" w:firstLine="0"/>
              <w:jc w:val="center"/>
              <w:rPr>
                <w:rFonts w:eastAsiaTheme="minorEastAsia"/>
                <w:sz w:val="24"/>
              </w:rPr>
            </w:pPr>
            <w:r>
              <w:rPr>
                <w:rFonts w:eastAsiaTheme="minorEastAsia"/>
                <w:sz w:val="24"/>
              </w:rPr>
              <w:t>50</w:t>
            </w:r>
          </w:p>
        </w:tc>
        <w:tc>
          <w:tcPr>
            <w:tcW w:w="1106" w:type="dxa"/>
            <w:tcBorders>
              <w:left w:val="nil"/>
              <w:bottom w:val="single" w:sz="4" w:space="0" w:color="auto"/>
              <w:right w:val="nil"/>
            </w:tcBorders>
            <w:vAlign w:val="center"/>
          </w:tcPr>
          <w:p w14:paraId="58D9B372" w14:textId="77777777" w:rsidR="00B66664" w:rsidRDefault="00264D9A">
            <w:pPr>
              <w:adjustRightInd w:val="0"/>
              <w:snapToGrid w:val="0"/>
              <w:spacing w:line="360" w:lineRule="auto"/>
              <w:ind w:firstLineChars="0" w:firstLine="0"/>
              <w:jc w:val="center"/>
              <w:rPr>
                <w:rFonts w:eastAsiaTheme="minorEastAsia"/>
                <w:sz w:val="24"/>
              </w:rPr>
            </w:pPr>
            <w:r>
              <w:rPr>
                <w:rFonts w:eastAsiaTheme="minorEastAsia"/>
                <w:sz w:val="24"/>
              </w:rPr>
              <w:t>75</w:t>
            </w:r>
          </w:p>
        </w:tc>
        <w:tc>
          <w:tcPr>
            <w:tcW w:w="1106" w:type="dxa"/>
            <w:tcBorders>
              <w:left w:val="nil"/>
              <w:bottom w:val="single" w:sz="4" w:space="0" w:color="auto"/>
              <w:right w:val="nil"/>
            </w:tcBorders>
            <w:vAlign w:val="center"/>
          </w:tcPr>
          <w:p w14:paraId="32C60218" w14:textId="77777777" w:rsidR="00B66664" w:rsidRDefault="00264D9A">
            <w:pPr>
              <w:adjustRightInd w:val="0"/>
              <w:snapToGrid w:val="0"/>
              <w:spacing w:line="360" w:lineRule="auto"/>
              <w:ind w:firstLineChars="0" w:firstLine="0"/>
              <w:jc w:val="center"/>
              <w:rPr>
                <w:rFonts w:eastAsiaTheme="minorEastAsia"/>
                <w:sz w:val="24"/>
              </w:rPr>
            </w:pPr>
            <w:r>
              <w:rPr>
                <w:rFonts w:eastAsiaTheme="minorEastAsia"/>
                <w:sz w:val="24"/>
              </w:rPr>
              <w:t>100</w:t>
            </w:r>
          </w:p>
        </w:tc>
      </w:tr>
      <w:tr w:rsidR="00B66664" w14:paraId="51EE4CEF" w14:textId="77777777">
        <w:trPr>
          <w:jc w:val="center"/>
        </w:trPr>
        <w:tc>
          <w:tcPr>
            <w:tcW w:w="2943" w:type="dxa"/>
            <w:tcBorders>
              <w:left w:val="nil"/>
              <w:bottom w:val="nil"/>
              <w:right w:val="nil"/>
            </w:tcBorders>
            <w:vAlign w:val="center"/>
          </w:tcPr>
          <w:p w14:paraId="69053DA2" w14:textId="77777777" w:rsidR="00B66664" w:rsidRDefault="00264D9A">
            <w:pPr>
              <w:adjustRightInd w:val="0"/>
              <w:snapToGrid w:val="0"/>
              <w:spacing w:line="360" w:lineRule="auto"/>
              <w:ind w:firstLineChars="0" w:firstLine="0"/>
              <w:jc w:val="center"/>
              <w:rPr>
                <w:rFonts w:eastAsiaTheme="minorEastAsia"/>
                <w:sz w:val="24"/>
              </w:rPr>
            </w:pPr>
            <w:r>
              <w:rPr>
                <w:rFonts w:eastAsiaTheme="minorEastAsia" w:hAnsiTheme="minorEastAsia"/>
                <w:sz w:val="24"/>
              </w:rPr>
              <w:t>标准曲线回归方程</w:t>
            </w:r>
          </w:p>
        </w:tc>
        <w:tc>
          <w:tcPr>
            <w:tcW w:w="5529" w:type="dxa"/>
            <w:gridSpan w:val="5"/>
            <w:tcBorders>
              <w:left w:val="nil"/>
              <w:bottom w:val="nil"/>
              <w:right w:val="nil"/>
            </w:tcBorders>
            <w:vAlign w:val="center"/>
          </w:tcPr>
          <w:p w14:paraId="091A52FC" w14:textId="77777777" w:rsidR="00B66664" w:rsidRDefault="00264D9A">
            <w:pPr>
              <w:adjustRightInd w:val="0"/>
              <w:snapToGrid w:val="0"/>
              <w:spacing w:line="360" w:lineRule="auto"/>
              <w:ind w:firstLineChars="0" w:firstLine="0"/>
              <w:jc w:val="center"/>
              <w:rPr>
                <w:rFonts w:eastAsiaTheme="minorEastAsia"/>
                <w:sz w:val="24"/>
              </w:rPr>
            </w:pPr>
            <w:r>
              <w:rPr>
                <w:rFonts w:eastAsiaTheme="minorEastAsia"/>
                <w:sz w:val="24"/>
              </w:rPr>
              <w:t>y=5.</w:t>
            </w:r>
            <w:r>
              <w:rPr>
                <w:rFonts w:eastAsiaTheme="minorEastAsia" w:hint="eastAsia"/>
                <w:sz w:val="24"/>
              </w:rPr>
              <w:t>881</w:t>
            </w:r>
            <w:r>
              <w:rPr>
                <w:rFonts w:eastAsiaTheme="minorEastAsia"/>
                <w:sz w:val="24"/>
              </w:rPr>
              <w:t>x+6.</w:t>
            </w:r>
            <w:r>
              <w:rPr>
                <w:rFonts w:eastAsiaTheme="minorEastAsia" w:hint="eastAsia"/>
                <w:sz w:val="24"/>
              </w:rPr>
              <w:t>790</w:t>
            </w:r>
          </w:p>
        </w:tc>
      </w:tr>
      <w:tr w:rsidR="00B66664" w14:paraId="7EF900F4" w14:textId="77777777">
        <w:trPr>
          <w:jc w:val="center"/>
        </w:trPr>
        <w:tc>
          <w:tcPr>
            <w:tcW w:w="2943" w:type="dxa"/>
            <w:tcBorders>
              <w:top w:val="nil"/>
              <w:left w:val="nil"/>
              <w:right w:val="nil"/>
            </w:tcBorders>
            <w:vAlign w:val="center"/>
          </w:tcPr>
          <w:p w14:paraId="3E0A604A" w14:textId="77777777" w:rsidR="00B66664" w:rsidRDefault="00264D9A">
            <w:pPr>
              <w:adjustRightInd w:val="0"/>
              <w:snapToGrid w:val="0"/>
              <w:spacing w:line="360" w:lineRule="auto"/>
              <w:ind w:firstLineChars="0" w:firstLine="0"/>
              <w:jc w:val="center"/>
              <w:rPr>
                <w:rFonts w:eastAsiaTheme="minorEastAsia"/>
                <w:sz w:val="24"/>
              </w:rPr>
            </w:pPr>
            <w:r>
              <w:rPr>
                <w:rFonts w:eastAsiaTheme="minorEastAsia" w:hAnsiTheme="minorEastAsia"/>
                <w:sz w:val="24"/>
              </w:rPr>
              <w:t>相关系数</w:t>
            </w:r>
          </w:p>
        </w:tc>
        <w:tc>
          <w:tcPr>
            <w:tcW w:w="5529" w:type="dxa"/>
            <w:gridSpan w:val="5"/>
            <w:tcBorders>
              <w:top w:val="nil"/>
              <w:left w:val="nil"/>
              <w:right w:val="nil"/>
            </w:tcBorders>
            <w:vAlign w:val="center"/>
          </w:tcPr>
          <w:p w14:paraId="2F1CCD34" w14:textId="77777777" w:rsidR="00B66664" w:rsidRDefault="00264D9A">
            <w:pPr>
              <w:adjustRightInd w:val="0"/>
              <w:snapToGrid w:val="0"/>
              <w:spacing w:line="360" w:lineRule="auto"/>
              <w:ind w:firstLineChars="0" w:firstLine="0"/>
              <w:jc w:val="center"/>
              <w:rPr>
                <w:rFonts w:eastAsiaTheme="minorEastAsia"/>
                <w:sz w:val="24"/>
              </w:rPr>
            </w:pPr>
            <w:r>
              <w:rPr>
                <w:rFonts w:eastAsiaTheme="minorEastAsia"/>
                <w:sz w:val="24"/>
              </w:rPr>
              <w:t>0.999</w:t>
            </w:r>
            <w:r>
              <w:rPr>
                <w:rFonts w:eastAsiaTheme="minorEastAsia" w:hint="eastAsia"/>
                <w:sz w:val="24"/>
              </w:rPr>
              <w:t>5</w:t>
            </w:r>
          </w:p>
        </w:tc>
      </w:tr>
    </w:tbl>
    <w:p w14:paraId="31A69245" w14:textId="77777777" w:rsidR="00B66664" w:rsidRDefault="00264D9A">
      <w:pPr>
        <w:pStyle w:val="a9"/>
      </w:pPr>
      <w:r>
        <w:rPr>
          <w:rFonts w:hint="eastAsia"/>
        </w:rPr>
        <w:t xml:space="preserve">5.3.2 </w:t>
      </w:r>
      <w:r>
        <w:rPr>
          <w:rFonts w:hint="eastAsia"/>
        </w:rPr>
        <w:t>多效唑线性范围</w:t>
      </w:r>
    </w:p>
    <w:p w14:paraId="5E461DD5" w14:textId="77777777" w:rsidR="00B66664" w:rsidRDefault="00264D9A">
      <w:pPr>
        <w:ind w:firstLine="560"/>
      </w:pPr>
      <w:r>
        <w:rPr>
          <w:rFonts w:hint="eastAsia"/>
        </w:rPr>
        <w:t>对多效唑在</w:t>
      </w:r>
      <w:r>
        <w:rPr>
          <w:rFonts w:hint="eastAsia"/>
        </w:rPr>
        <w:t>5µg/mL</w:t>
      </w:r>
      <w:r>
        <w:rPr>
          <w:rFonts w:hint="eastAsia"/>
        </w:rPr>
        <w:t>～</w:t>
      </w:r>
      <w:r>
        <w:rPr>
          <w:rFonts w:hint="eastAsia"/>
        </w:rPr>
        <w:t>100 µg/mL</w:t>
      </w:r>
      <w:r>
        <w:rPr>
          <w:rFonts w:hint="eastAsia"/>
        </w:rPr>
        <w:t>一系列质量浓度的标准溶液按浓度从低到高依次分析测定，其线性范围、线性回归方程、相关系数见表</w:t>
      </w:r>
      <w:r>
        <w:rPr>
          <w:rFonts w:hint="eastAsia"/>
        </w:rPr>
        <w:t>2</w:t>
      </w:r>
      <w:r>
        <w:rPr>
          <w:rFonts w:hint="eastAsia"/>
        </w:rPr>
        <w:t>。</w:t>
      </w:r>
    </w:p>
    <w:p w14:paraId="42F35A22" w14:textId="77777777" w:rsidR="00B66664" w:rsidRDefault="00264D9A">
      <w:pPr>
        <w:pStyle w:val="a3"/>
        <w:spacing w:after="156"/>
        <w:ind w:firstLine="480"/>
      </w:pPr>
      <w:r>
        <w:rPr>
          <w:rFonts w:hint="eastAsia"/>
        </w:rPr>
        <w:t>表</w:t>
      </w:r>
      <w:r>
        <w:rPr>
          <w:rFonts w:hint="eastAsia"/>
        </w:rPr>
        <w:t xml:space="preserve">2 </w:t>
      </w:r>
      <w:r>
        <w:rPr>
          <w:rFonts w:hint="eastAsia"/>
        </w:rPr>
        <w:t>多效唑线性范围、线性方程、相关系数</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105"/>
        <w:gridCol w:w="1106"/>
        <w:gridCol w:w="1106"/>
        <w:gridCol w:w="1106"/>
        <w:gridCol w:w="1106"/>
      </w:tblGrid>
      <w:tr w:rsidR="00B66664" w14:paraId="231756B8" w14:textId="77777777">
        <w:trPr>
          <w:jc w:val="center"/>
        </w:trPr>
        <w:tc>
          <w:tcPr>
            <w:tcW w:w="2943" w:type="dxa"/>
            <w:tcBorders>
              <w:left w:val="nil"/>
              <w:bottom w:val="single" w:sz="4" w:space="0" w:color="auto"/>
              <w:right w:val="nil"/>
            </w:tcBorders>
            <w:vAlign w:val="center"/>
          </w:tcPr>
          <w:p w14:paraId="0CD59775" w14:textId="77777777" w:rsidR="00B66664" w:rsidRDefault="00264D9A">
            <w:pPr>
              <w:adjustRightInd w:val="0"/>
              <w:snapToGrid w:val="0"/>
              <w:spacing w:line="360" w:lineRule="auto"/>
              <w:ind w:firstLineChars="0" w:firstLine="0"/>
              <w:jc w:val="center"/>
              <w:rPr>
                <w:rFonts w:eastAsiaTheme="minorEastAsia"/>
                <w:sz w:val="24"/>
              </w:rPr>
            </w:pPr>
            <w:r>
              <w:rPr>
                <w:rFonts w:eastAsiaTheme="minorEastAsia" w:hAnsiTheme="minorEastAsia"/>
                <w:sz w:val="24"/>
              </w:rPr>
              <w:t>标准溶液系列</w:t>
            </w:r>
            <w:r>
              <w:rPr>
                <w:rFonts w:eastAsiaTheme="minorEastAsia"/>
                <w:sz w:val="24"/>
              </w:rPr>
              <w:t>(µg /mL)</w:t>
            </w:r>
          </w:p>
        </w:tc>
        <w:tc>
          <w:tcPr>
            <w:tcW w:w="1105" w:type="dxa"/>
            <w:tcBorders>
              <w:left w:val="nil"/>
              <w:bottom w:val="single" w:sz="4" w:space="0" w:color="auto"/>
              <w:right w:val="nil"/>
            </w:tcBorders>
            <w:vAlign w:val="center"/>
          </w:tcPr>
          <w:p w14:paraId="79201374" w14:textId="77777777" w:rsidR="00B66664" w:rsidRDefault="00264D9A">
            <w:pPr>
              <w:adjustRightInd w:val="0"/>
              <w:snapToGrid w:val="0"/>
              <w:spacing w:line="360" w:lineRule="auto"/>
              <w:ind w:firstLineChars="0" w:firstLine="0"/>
              <w:jc w:val="center"/>
              <w:rPr>
                <w:rFonts w:eastAsiaTheme="minorEastAsia"/>
                <w:sz w:val="24"/>
              </w:rPr>
            </w:pPr>
            <w:r>
              <w:rPr>
                <w:rFonts w:eastAsiaTheme="minorEastAsia"/>
                <w:sz w:val="24"/>
              </w:rPr>
              <w:t>5.0</w:t>
            </w:r>
          </w:p>
        </w:tc>
        <w:tc>
          <w:tcPr>
            <w:tcW w:w="1106" w:type="dxa"/>
            <w:tcBorders>
              <w:left w:val="nil"/>
              <w:bottom w:val="single" w:sz="4" w:space="0" w:color="auto"/>
              <w:right w:val="nil"/>
            </w:tcBorders>
            <w:vAlign w:val="center"/>
          </w:tcPr>
          <w:p w14:paraId="5E9752EF" w14:textId="77777777" w:rsidR="00B66664" w:rsidRDefault="00264D9A">
            <w:pPr>
              <w:adjustRightInd w:val="0"/>
              <w:snapToGrid w:val="0"/>
              <w:spacing w:line="360" w:lineRule="auto"/>
              <w:ind w:firstLineChars="0" w:firstLine="0"/>
              <w:jc w:val="center"/>
              <w:rPr>
                <w:rFonts w:eastAsiaTheme="minorEastAsia"/>
                <w:sz w:val="24"/>
              </w:rPr>
            </w:pPr>
            <w:r>
              <w:rPr>
                <w:rFonts w:eastAsiaTheme="minorEastAsia"/>
                <w:sz w:val="24"/>
              </w:rPr>
              <w:t>25</w:t>
            </w:r>
          </w:p>
        </w:tc>
        <w:tc>
          <w:tcPr>
            <w:tcW w:w="1106" w:type="dxa"/>
            <w:tcBorders>
              <w:left w:val="nil"/>
              <w:bottom w:val="single" w:sz="4" w:space="0" w:color="auto"/>
              <w:right w:val="nil"/>
            </w:tcBorders>
            <w:vAlign w:val="center"/>
          </w:tcPr>
          <w:p w14:paraId="6E557629" w14:textId="77777777" w:rsidR="00B66664" w:rsidRDefault="00264D9A">
            <w:pPr>
              <w:adjustRightInd w:val="0"/>
              <w:snapToGrid w:val="0"/>
              <w:spacing w:line="360" w:lineRule="auto"/>
              <w:ind w:firstLineChars="0" w:firstLine="0"/>
              <w:jc w:val="center"/>
              <w:rPr>
                <w:rFonts w:eastAsiaTheme="minorEastAsia"/>
                <w:sz w:val="24"/>
              </w:rPr>
            </w:pPr>
            <w:r>
              <w:rPr>
                <w:rFonts w:eastAsiaTheme="minorEastAsia"/>
                <w:sz w:val="24"/>
              </w:rPr>
              <w:t>50</w:t>
            </w:r>
          </w:p>
        </w:tc>
        <w:tc>
          <w:tcPr>
            <w:tcW w:w="1106" w:type="dxa"/>
            <w:tcBorders>
              <w:left w:val="nil"/>
              <w:bottom w:val="single" w:sz="4" w:space="0" w:color="auto"/>
              <w:right w:val="nil"/>
            </w:tcBorders>
            <w:vAlign w:val="center"/>
          </w:tcPr>
          <w:p w14:paraId="5FA2ECD7" w14:textId="77777777" w:rsidR="00B66664" w:rsidRDefault="00264D9A">
            <w:pPr>
              <w:adjustRightInd w:val="0"/>
              <w:snapToGrid w:val="0"/>
              <w:spacing w:line="360" w:lineRule="auto"/>
              <w:ind w:firstLineChars="0" w:firstLine="0"/>
              <w:jc w:val="center"/>
              <w:rPr>
                <w:rFonts w:eastAsiaTheme="minorEastAsia"/>
                <w:sz w:val="24"/>
              </w:rPr>
            </w:pPr>
            <w:r>
              <w:rPr>
                <w:rFonts w:eastAsiaTheme="minorEastAsia"/>
                <w:sz w:val="24"/>
              </w:rPr>
              <w:t>75</w:t>
            </w:r>
          </w:p>
        </w:tc>
        <w:tc>
          <w:tcPr>
            <w:tcW w:w="1106" w:type="dxa"/>
            <w:tcBorders>
              <w:left w:val="nil"/>
              <w:bottom w:val="single" w:sz="4" w:space="0" w:color="auto"/>
              <w:right w:val="nil"/>
            </w:tcBorders>
            <w:vAlign w:val="center"/>
          </w:tcPr>
          <w:p w14:paraId="0864EE51" w14:textId="77777777" w:rsidR="00B66664" w:rsidRDefault="00264D9A">
            <w:pPr>
              <w:adjustRightInd w:val="0"/>
              <w:snapToGrid w:val="0"/>
              <w:spacing w:line="360" w:lineRule="auto"/>
              <w:ind w:firstLineChars="0" w:firstLine="0"/>
              <w:jc w:val="center"/>
              <w:rPr>
                <w:rFonts w:eastAsiaTheme="minorEastAsia"/>
                <w:sz w:val="24"/>
              </w:rPr>
            </w:pPr>
            <w:r>
              <w:rPr>
                <w:rFonts w:eastAsiaTheme="minorEastAsia"/>
                <w:sz w:val="24"/>
              </w:rPr>
              <w:t>100</w:t>
            </w:r>
          </w:p>
        </w:tc>
      </w:tr>
      <w:tr w:rsidR="00B66664" w14:paraId="20283EAD" w14:textId="77777777">
        <w:trPr>
          <w:jc w:val="center"/>
        </w:trPr>
        <w:tc>
          <w:tcPr>
            <w:tcW w:w="2943" w:type="dxa"/>
            <w:tcBorders>
              <w:left w:val="nil"/>
              <w:bottom w:val="nil"/>
              <w:right w:val="nil"/>
            </w:tcBorders>
            <w:vAlign w:val="center"/>
          </w:tcPr>
          <w:p w14:paraId="51669AA6" w14:textId="77777777" w:rsidR="00B66664" w:rsidRDefault="00264D9A">
            <w:pPr>
              <w:adjustRightInd w:val="0"/>
              <w:snapToGrid w:val="0"/>
              <w:spacing w:line="360" w:lineRule="auto"/>
              <w:ind w:firstLineChars="0" w:firstLine="0"/>
              <w:jc w:val="center"/>
              <w:rPr>
                <w:rFonts w:eastAsiaTheme="minorEastAsia"/>
                <w:sz w:val="24"/>
              </w:rPr>
            </w:pPr>
            <w:r>
              <w:rPr>
                <w:rFonts w:eastAsiaTheme="minorEastAsia" w:hAnsiTheme="minorEastAsia"/>
                <w:sz w:val="24"/>
              </w:rPr>
              <w:t>标准曲线回归方程</w:t>
            </w:r>
          </w:p>
        </w:tc>
        <w:tc>
          <w:tcPr>
            <w:tcW w:w="5529" w:type="dxa"/>
            <w:gridSpan w:val="5"/>
            <w:tcBorders>
              <w:left w:val="nil"/>
              <w:bottom w:val="nil"/>
              <w:right w:val="nil"/>
            </w:tcBorders>
            <w:vAlign w:val="center"/>
          </w:tcPr>
          <w:p w14:paraId="6847A8EB" w14:textId="77777777" w:rsidR="00B66664" w:rsidRDefault="00264D9A">
            <w:pPr>
              <w:adjustRightInd w:val="0"/>
              <w:snapToGrid w:val="0"/>
              <w:spacing w:line="360" w:lineRule="auto"/>
              <w:ind w:firstLineChars="0" w:firstLine="0"/>
              <w:jc w:val="center"/>
              <w:rPr>
                <w:rFonts w:eastAsiaTheme="minorEastAsia"/>
                <w:sz w:val="24"/>
              </w:rPr>
            </w:pPr>
            <w:r>
              <w:rPr>
                <w:rFonts w:eastAsiaTheme="minorEastAsia"/>
                <w:sz w:val="24"/>
              </w:rPr>
              <w:t>y=5.330x+6.131</w:t>
            </w:r>
          </w:p>
        </w:tc>
      </w:tr>
      <w:tr w:rsidR="00B66664" w14:paraId="0B368F0B" w14:textId="77777777">
        <w:trPr>
          <w:jc w:val="center"/>
        </w:trPr>
        <w:tc>
          <w:tcPr>
            <w:tcW w:w="2943" w:type="dxa"/>
            <w:tcBorders>
              <w:top w:val="nil"/>
              <w:left w:val="nil"/>
              <w:right w:val="nil"/>
            </w:tcBorders>
            <w:vAlign w:val="center"/>
          </w:tcPr>
          <w:p w14:paraId="42F93DA0" w14:textId="77777777" w:rsidR="00B66664" w:rsidRDefault="00264D9A">
            <w:pPr>
              <w:adjustRightInd w:val="0"/>
              <w:snapToGrid w:val="0"/>
              <w:spacing w:line="360" w:lineRule="auto"/>
              <w:ind w:firstLineChars="0" w:firstLine="0"/>
              <w:jc w:val="center"/>
              <w:rPr>
                <w:rFonts w:eastAsiaTheme="minorEastAsia"/>
                <w:sz w:val="24"/>
              </w:rPr>
            </w:pPr>
            <w:r>
              <w:rPr>
                <w:rFonts w:eastAsiaTheme="minorEastAsia" w:hAnsiTheme="minorEastAsia"/>
                <w:sz w:val="24"/>
              </w:rPr>
              <w:t>相关系数</w:t>
            </w:r>
          </w:p>
        </w:tc>
        <w:tc>
          <w:tcPr>
            <w:tcW w:w="5529" w:type="dxa"/>
            <w:gridSpan w:val="5"/>
            <w:tcBorders>
              <w:top w:val="nil"/>
              <w:left w:val="nil"/>
              <w:right w:val="nil"/>
            </w:tcBorders>
            <w:vAlign w:val="center"/>
          </w:tcPr>
          <w:p w14:paraId="6EBE079A" w14:textId="77777777" w:rsidR="00B66664" w:rsidRDefault="00264D9A">
            <w:pPr>
              <w:adjustRightInd w:val="0"/>
              <w:snapToGrid w:val="0"/>
              <w:spacing w:line="360" w:lineRule="auto"/>
              <w:ind w:firstLineChars="0" w:firstLine="0"/>
              <w:jc w:val="center"/>
              <w:rPr>
                <w:rFonts w:eastAsiaTheme="minorEastAsia"/>
                <w:sz w:val="24"/>
              </w:rPr>
            </w:pPr>
            <w:r>
              <w:rPr>
                <w:rFonts w:eastAsiaTheme="minorEastAsia"/>
                <w:sz w:val="24"/>
              </w:rPr>
              <w:t>0.9996</w:t>
            </w:r>
          </w:p>
        </w:tc>
      </w:tr>
    </w:tbl>
    <w:p w14:paraId="471A4248" w14:textId="77777777" w:rsidR="00B66664" w:rsidRDefault="00264D9A">
      <w:pPr>
        <w:pStyle w:val="2"/>
      </w:pPr>
      <w:bookmarkStart w:id="20" w:name="_Toc8676"/>
      <w:r>
        <w:rPr>
          <w:rFonts w:hint="eastAsia"/>
        </w:rPr>
        <w:t>5.4</w:t>
      </w:r>
      <w:r>
        <w:rPr>
          <w:rFonts w:hint="eastAsia"/>
        </w:rPr>
        <w:t>方法检出限</w:t>
      </w:r>
      <w:bookmarkEnd w:id="20"/>
    </w:p>
    <w:p w14:paraId="556DA137" w14:textId="77777777" w:rsidR="00B66664" w:rsidRDefault="00264D9A">
      <w:pPr>
        <w:ind w:firstLine="560"/>
      </w:pPr>
      <w:r>
        <w:rPr>
          <w:rFonts w:hint="eastAsia"/>
        </w:rPr>
        <w:t>本方法中，基于实际空白样品中添加胺鲜酯、多效唑标准品分析结果，按</w:t>
      </w:r>
      <w:r>
        <w:rPr>
          <w:rFonts w:hint="eastAsia"/>
        </w:rPr>
        <w:t>3</w:t>
      </w:r>
      <w:r>
        <w:rPr>
          <w:rFonts w:hint="eastAsia"/>
        </w:rPr>
        <w:t>倍信噪比计算对应的浓度为方法检出限；按</w:t>
      </w:r>
      <w:r>
        <w:rPr>
          <w:rFonts w:hint="eastAsia"/>
        </w:rPr>
        <w:t>10</w:t>
      </w:r>
      <w:r>
        <w:rPr>
          <w:rFonts w:hint="eastAsia"/>
        </w:rPr>
        <w:t>倍信噪比计算对应的浓度为方法定量限。</w:t>
      </w:r>
    </w:p>
    <w:p w14:paraId="69CEABBF" w14:textId="77777777" w:rsidR="00B66664" w:rsidRDefault="00264D9A">
      <w:pPr>
        <w:ind w:firstLine="560"/>
      </w:pPr>
      <w:r>
        <w:rPr>
          <w:rFonts w:hint="eastAsia"/>
        </w:rPr>
        <w:t>分别对固体水溶肥料产品、液体水溶肥料产品、有机肥料产品的空白</w:t>
      </w:r>
      <w:r>
        <w:rPr>
          <w:rFonts w:hint="eastAsia"/>
        </w:rPr>
        <w:lastRenderedPageBreak/>
        <w:t>样品中分别添</w:t>
      </w:r>
      <w:r>
        <w:t>加</w:t>
      </w:r>
      <w:r>
        <w:t>5μg</w:t>
      </w:r>
      <w:r>
        <w:t>胺</w:t>
      </w:r>
      <w:r>
        <w:rPr>
          <w:rFonts w:hint="eastAsia"/>
        </w:rPr>
        <w:t>鲜酯、多效唑标准品，按照该检测方法进行检测，三种不同类型肥料样品均可检出，信噪比可达到相应空白样品信噪比的</w:t>
      </w:r>
      <w:r>
        <w:rPr>
          <w:rFonts w:hint="eastAsia"/>
        </w:rPr>
        <w:t>3</w:t>
      </w:r>
      <w:r>
        <w:rPr>
          <w:rFonts w:hint="eastAsia"/>
        </w:rPr>
        <w:t>倍。最终确定胺鲜酯、多效唑的最低检出限为</w:t>
      </w:r>
      <w:r>
        <w:rPr>
          <w:rFonts w:hint="eastAsia"/>
        </w:rPr>
        <w:t>0.5</w:t>
      </w:r>
      <w:r>
        <w:t>μg/mL</w:t>
      </w:r>
      <w:r>
        <w:rPr>
          <w:rFonts w:hint="eastAsia"/>
        </w:rPr>
        <w:t>，方法中称样量为</w:t>
      </w:r>
      <w:r>
        <w:rPr>
          <w:rFonts w:hint="eastAsia"/>
        </w:rPr>
        <w:t>0.5g</w:t>
      </w:r>
      <w:r>
        <w:rPr>
          <w:rFonts w:hint="eastAsia"/>
        </w:rPr>
        <w:t>时，考虑样品稀释倍数，计算胺鲜酯、多效唑的检出限为</w:t>
      </w:r>
      <w:r>
        <w:rPr>
          <w:rFonts w:hint="eastAsia"/>
        </w:rPr>
        <w:t>10mg/kg</w:t>
      </w:r>
      <w:r>
        <w:rPr>
          <w:rFonts w:hint="eastAsia"/>
        </w:rPr>
        <w:t>胺鲜酯、多效唑的最低定量限为</w:t>
      </w:r>
      <w:r>
        <w:t>1.5μg/mL</w:t>
      </w:r>
      <w:r>
        <w:rPr>
          <w:rFonts w:hint="eastAsia"/>
        </w:rPr>
        <w:t>，方法中称样量为</w:t>
      </w:r>
      <w:r>
        <w:rPr>
          <w:rFonts w:hint="eastAsia"/>
        </w:rPr>
        <w:t>0.5g</w:t>
      </w:r>
      <w:r>
        <w:rPr>
          <w:rFonts w:hint="eastAsia"/>
        </w:rPr>
        <w:t>时，考虑样品稀释倍数，计算胺鲜酯、多效唑的定量限为</w:t>
      </w:r>
      <w:r>
        <w:rPr>
          <w:rFonts w:hint="eastAsia"/>
        </w:rPr>
        <w:t>30mg/kg</w:t>
      </w:r>
      <w:r>
        <w:rPr>
          <w:rFonts w:hint="eastAsia"/>
        </w:rPr>
        <w:t>。</w:t>
      </w:r>
    </w:p>
    <w:p w14:paraId="389FA663" w14:textId="77777777" w:rsidR="00B66664" w:rsidRDefault="00264D9A">
      <w:pPr>
        <w:pStyle w:val="2"/>
      </w:pPr>
      <w:bookmarkStart w:id="21" w:name="_Toc6133"/>
      <w:r>
        <w:rPr>
          <w:rFonts w:hint="eastAsia"/>
        </w:rPr>
        <w:t xml:space="preserve">5.5 </w:t>
      </w:r>
      <w:r>
        <w:rPr>
          <w:rFonts w:hint="eastAsia"/>
        </w:rPr>
        <w:t>精密度实验</w:t>
      </w:r>
      <w:bookmarkEnd w:id="21"/>
    </w:p>
    <w:p w14:paraId="5FBF024C" w14:textId="77777777" w:rsidR="00B66664" w:rsidRDefault="00264D9A">
      <w:pPr>
        <w:pStyle w:val="a9"/>
      </w:pPr>
      <w:r>
        <w:rPr>
          <w:rFonts w:hint="eastAsia"/>
        </w:rPr>
        <w:t>5.5.1</w:t>
      </w:r>
      <w:r>
        <w:rPr>
          <w:rFonts w:hint="eastAsia"/>
        </w:rPr>
        <w:t>胺鲜酯精密性实验</w:t>
      </w:r>
    </w:p>
    <w:p w14:paraId="3DC811C0" w14:textId="77777777" w:rsidR="00B66664" w:rsidRDefault="00264D9A">
      <w:pPr>
        <w:ind w:firstLine="560"/>
      </w:pPr>
      <w:r>
        <w:rPr>
          <w:rFonts w:hint="eastAsia"/>
        </w:rPr>
        <w:t>精密称取同批次样品</w:t>
      </w:r>
      <w:r>
        <w:rPr>
          <w:rFonts w:hint="eastAsia"/>
        </w:rPr>
        <w:t>1</w:t>
      </w:r>
      <w:r>
        <w:rPr>
          <w:rFonts w:hint="eastAsia"/>
        </w:rPr>
        <w:t>份，按该方法进行样品前处理，采用同样的色谱条件，同一样品连续进样六次，对精密性进行试验，试验结果见表</w:t>
      </w:r>
      <w:r>
        <w:rPr>
          <w:rFonts w:hint="eastAsia"/>
        </w:rPr>
        <w:t>3</w:t>
      </w:r>
      <w:r>
        <w:rPr>
          <w:rFonts w:hint="eastAsia"/>
        </w:rPr>
        <w:t>。从表中可以看出，检测得到的平均浓度为</w:t>
      </w:r>
      <w:r>
        <w:rPr>
          <w:rFonts w:hint="eastAsia"/>
        </w:rPr>
        <w:t>23.253</w:t>
      </w:r>
      <w:r>
        <w:t xml:space="preserve">μg/mL </w:t>
      </w:r>
      <w:r>
        <w:t>，</w:t>
      </w:r>
      <w:r>
        <w:rPr>
          <w:rFonts w:hint="eastAsia"/>
        </w:rPr>
        <w:t>RSD</w:t>
      </w:r>
      <w:r>
        <w:rPr>
          <w:rFonts w:hint="eastAsia"/>
        </w:rPr>
        <w:t>值为</w:t>
      </w:r>
      <w:r>
        <w:rPr>
          <w:rFonts w:hint="eastAsia"/>
        </w:rPr>
        <w:t>0.80%</w:t>
      </w:r>
      <w:r>
        <w:rPr>
          <w:rFonts w:hint="eastAsia"/>
        </w:rPr>
        <w:t>，符合一般色谱方法验证中对精密度</w:t>
      </w:r>
      <w:r>
        <w:rPr>
          <w:rFonts w:hint="eastAsia"/>
        </w:rPr>
        <w:t>RSD</w:t>
      </w:r>
      <w:r>
        <w:rPr>
          <w:rFonts w:hint="eastAsia"/>
        </w:rPr>
        <w:t>＜</w:t>
      </w:r>
      <w:r>
        <w:rPr>
          <w:rFonts w:hint="eastAsia"/>
        </w:rPr>
        <w:t>1%</w:t>
      </w:r>
      <w:r>
        <w:rPr>
          <w:rFonts w:hint="eastAsia"/>
        </w:rPr>
        <w:t>的要求。</w:t>
      </w:r>
    </w:p>
    <w:p w14:paraId="3F5DBB0E" w14:textId="77777777" w:rsidR="00B66664" w:rsidRDefault="00264D9A">
      <w:pPr>
        <w:pStyle w:val="a3"/>
        <w:spacing w:after="156"/>
        <w:ind w:firstLine="480"/>
      </w:pPr>
      <w:r>
        <w:t>表</w:t>
      </w:r>
      <w:r>
        <w:rPr>
          <w:rFonts w:hint="eastAsia"/>
        </w:rPr>
        <w:t xml:space="preserve">3 </w:t>
      </w:r>
      <w:r>
        <w:rPr>
          <w:rFonts w:hint="eastAsia"/>
        </w:rPr>
        <w:t>胺鲜酯</w:t>
      </w:r>
      <w:r>
        <w:t>气相色谱检测方法精密</w:t>
      </w:r>
      <w:r>
        <w:rPr>
          <w:rFonts w:hint="eastAsia"/>
        </w:rPr>
        <w:t>度</w:t>
      </w:r>
      <w:r>
        <w:t>试验</w:t>
      </w:r>
    </w:p>
    <w:tbl>
      <w:tblPr>
        <w:tblW w:w="6995" w:type="dxa"/>
        <w:jc w:val="center"/>
        <w:tblBorders>
          <w:top w:val="single" w:sz="8" w:space="0" w:color="auto"/>
          <w:bottom w:val="single" w:sz="8" w:space="0" w:color="auto"/>
        </w:tblBorders>
        <w:tblLayout w:type="fixed"/>
        <w:tblLook w:val="04A0" w:firstRow="1" w:lastRow="0" w:firstColumn="1" w:lastColumn="0" w:noHBand="0" w:noVBand="1"/>
      </w:tblPr>
      <w:tblGrid>
        <w:gridCol w:w="1276"/>
        <w:gridCol w:w="1538"/>
        <w:gridCol w:w="2334"/>
        <w:gridCol w:w="1847"/>
      </w:tblGrid>
      <w:tr w:rsidR="00B66664" w14:paraId="219A18B1" w14:textId="77777777">
        <w:trPr>
          <w:trHeight w:val="443"/>
          <w:jc w:val="center"/>
        </w:trPr>
        <w:tc>
          <w:tcPr>
            <w:tcW w:w="1276" w:type="dxa"/>
            <w:tcBorders>
              <w:top w:val="single" w:sz="8" w:space="0" w:color="auto"/>
              <w:bottom w:val="single" w:sz="8" w:space="0" w:color="auto"/>
            </w:tcBorders>
            <w:vAlign w:val="center"/>
          </w:tcPr>
          <w:p w14:paraId="09DDECCB" w14:textId="77777777" w:rsidR="00B66664" w:rsidRDefault="00264D9A">
            <w:pPr>
              <w:spacing w:line="360" w:lineRule="auto"/>
              <w:ind w:firstLineChars="0" w:firstLine="0"/>
              <w:jc w:val="center"/>
              <w:rPr>
                <w:kern w:val="0"/>
                <w:sz w:val="24"/>
              </w:rPr>
            </w:pPr>
            <w:r>
              <w:rPr>
                <w:rFonts w:hint="eastAsia"/>
                <w:kern w:val="0"/>
                <w:sz w:val="24"/>
              </w:rPr>
              <w:t>序号</w:t>
            </w:r>
          </w:p>
        </w:tc>
        <w:tc>
          <w:tcPr>
            <w:tcW w:w="1538" w:type="dxa"/>
            <w:tcBorders>
              <w:top w:val="single" w:sz="8" w:space="0" w:color="auto"/>
              <w:bottom w:val="single" w:sz="8" w:space="0" w:color="auto"/>
            </w:tcBorders>
            <w:vAlign w:val="center"/>
          </w:tcPr>
          <w:p w14:paraId="21D1E005" w14:textId="77777777" w:rsidR="00B66664" w:rsidRDefault="00264D9A">
            <w:pPr>
              <w:spacing w:line="360" w:lineRule="auto"/>
              <w:ind w:firstLineChars="0" w:firstLine="0"/>
              <w:jc w:val="center"/>
              <w:rPr>
                <w:kern w:val="0"/>
                <w:sz w:val="24"/>
              </w:rPr>
            </w:pPr>
            <w:r>
              <w:rPr>
                <w:rFonts w:hint="eastAsia"/>
                <w:kern w:val="0"/>
                <w:sz w:val="24"/>
              </w:rPr>
              <w:t>峰面积</w:t>
            </w:r>
          </w:p>
        </w:tc>
        <w:tc>
          <w:tcPr>
            <w:tcW w:w="2334" w:type="dxa"/>
            <w:tcBorders>
              <w:top w:val="single" w:sz="8" w:space="0" w:color="auto"/>
              <w:bottom w:val="single" w:sz="8" w:space="0" w:color="auto"/>
            </w:tcBorders>
            <w:vAlign w:val="center"/>
          </w:tcPr>
          <w:p w14:paraId="0B8BE31B" w14:textId="77777777" w:rsidR="00B66664" w:rsidRDefault="00264D9A">
            <w:pPr>
              <w:spacing w:line="360" w:lineRule="auto"/>
              <w:ind w:firstLineChars="0" w:firstLine="0"/>
              <w:jc w:val="center"/>
              <w:rPr>
                <w:kern w:val="0"/>
                <w:sz w:val="24"/>
              </w:rPr>
            </w:pPr>
            <w:r>
              <w:rPr>
                <w:rFonts w:hint="eastAsia"/>
                <w:kern w:val="0"/>
                <w:sz w:val="24"/>
              </w:rPr>
              <w:t>浓度</w:t>
            </w:r>
            <w:r>
              <w:rPr>
                <w:kern w:val="0"/>
                <w:sz w:val="24"/>
              </w:rPr>
              <w:t>/</w:t>
            </w:r>
            <w:proofErr w:type="spellStart"/>
            <w:r>
              <w:rPr>
                <w:kern w:val="0"/>
                <w:sz w:val="24"/>
              </w:rPr>
              <w:t>μg</w:t>
            </w:r>
            <w:proofErr w:type="spellEnd"/>
            <w:r>
              <w:rPr>
                <w:kern w:val="0"/>
                <w:sz w:val="24"/>
              </w:rPr>
              <w:t>/mL</w:t>
            </w:r>
          </w:p>
        </w:tc>
        <w:tc>
          <w:tcPr>
            <w:tcW w:w="1847" w:type="dxa"/>
            <w:tcBorders>
              <w:top w:val="single" w:sz="8" w:space="0" w:color="auto"/>
              <w:bottom w:val="single" w:sz="8" w:space="0" w:color="auto"/>
            </w:tcBorders>
            <w:vAlign w:val="center"/>
          </w:tcPr>
          <w:p w14:paraId="10943AA2" w14:textId="77777777" w:rsidR="00B66664" w:rsidRDefault="00264D9A">
            <w:pPr>
              <w:spacing w:line="360" w:lineRule="auto"/>
              <w:ind w:firstLineChars="0" w:firstLine="0"/>
              <w:jc w:val="center"/>
              <w:rPr>
                <w:kern w:val="0"/>
                <w:sz w:val="24"/>
              </w:rPr>
            </w:pPr>
            <w:r>
              <w:rPr>
                <w:kern w:val="0"/>
                <w:sz w:val="24"/>
              </w:rPr>
              <w:t>RSD</w:t>
            </w:r>
            <w:r>
              <w:rPr>
                <w:rFonts w:hAnsiTheme="minorEastAsia"/>
                <w:kern w:val="0"/>
                <w:sz w:val="24"/>
              </w:rPr>
              <w:t>（</w:t>
            </w:r>
            <w:r>
              <w:rPr>
                <w:kern w:val="0"/>
                <w:sz w:val="24"/>
              </w:rPr>
              <w:t>%</w:t>
            </w:r>
            <w:r>
              <w:rPr>
                <w:rFonts w:hAnsiTheme="minorEastAsia"/>
                <w:kern w:val="0"/>
                <w:sz w:val="24"/>
              </w:rPr>
              <w:t>，</w:t>
            </w:r>
            <w:r>
              <w:rPr>
                <w:kern w:val="0"/>
                <w:sz w:val="24"/>
              </w:rPr>
              <w:t>n=6</w:t>
            </w:r>
            <w:r>
              <w:rPr>
                <w:rFonts w:hAnsiTheme="minorEastAsia"/>
                <w:kern w:val="0"/>
                <w:sz w:val="24"/>
              </w:rPr>
              <w:t>）</w:t>
            </w:r>
          </w:p>
        </w:tc>
      </w:tr>
      <w:tr w:rsidR="00B66664" w14:paraId="79082E54" w14:textId="77777777">
        <w:trPr>
          <w:jc w:val="center"/>
        </w:trPr>
        <w:tc>
          <w:tcPr>
            <w:tcW w:w="1276" w:type="dxa"/>
            <w:tcBorders>
              <w:top w:val="single" w:sz="8" w:space="0" w:color="auto"/>
            </w:tcBorders>
            <w:vAlign w:val="center"/>
          </w:tcPr>
          <w:p w14:paraId="2FB20EDA" w14:textId="77777777" w:rsidR="00B66664" w:rsidRDefault="00264D9A">
            <w:pPr>
              <w:spacing w:line="360" w:lineRule="auto"/>
              <w:ind w:firstLineChars="0" w:firstLine="0"/>
              <w:jc w:val="center"/>
              <w:rPr>
                <w:kern w:val="0"/>
                <w:sz w:val="24"/>
              </w:rPr>
            </w:pPr>
            <w:r>
              <w:rPr>
                <w:kern w:val="0"/>
                <w:sz w:val="24"/>
              </w:rPr>
              <w:t>1</w:t>
            </w:r>
          </w:p>
        </w:tc>
        <w:tc>
          <w:tcPr>
            <w:tcW w:w="1538" w:type="dxa"/>
            <w:tcBorders>
              <w:top w:val="single" w:sz="8" w:space="0" w:color="auto"/>
            </w:tcBorders>
            <w:vAlign w:val="center"/>
          </w:tcPr>
          <w:p w14:paraId="5CF07EC9" w14:textId="77777777" w:rsidR="00B66664" w:rsidRDefault="00264D9A">
            <w:pPr>
              <w:spacing w:line="360" w:lineRule="auto"/>
              <w:ind w:firstLine="440"/>
              <w:jc w:val="center"/>
              <w:rPr>
                <w:rFonts w:ascii="宋体" w:hAnsi="宋体" w:cs="宋体"/>
                <w:color w:val="000000"/>
                <w:sz w:val="22"/>
                <w:szCs w:val="22"/>
              </w:rPr>
            </w:pPr>
            <w:r>
              <w:rPr>
                <w:rFonts w:hint="eastAsia"/>
                <w:color w:val="000000"/>
                <w:sz w:val="22"/>
                <w:szCs w:val="22"/>
              </w:rPr>
              <w:t>141.431</w:t>
            </w:r>
          </w:p>
        </w:tc>
        <w:tc>
          <w:tcPr>
            <w:tcW w:w="2334" w:type="dxa"/>
            <w:tcBorders>
              <w:top w:val="single" w:sz="8" w:space="0" w:color="auto"/>
            </w:tcBorders>
            <w:vAlign w:val="center"/>
          </w:tcPr>
          <w:p w14:paraId="113CCAB3" w14:textId="77777777" w:rsidR="00B66664" w:rsidRDefault="00264D9A">
            <w:pPr>
              <w:spacing w:line="360" w:lineRule="auto"/>
              <w:ind w:firstLine="440"/>
              <w:jc w:val="center"/>
              <w:rPr>
                <w:rFonts w:ascii="宋体" w:hAnsi="宋体" w:cs="宋体"/>
                <w:color w:val="000000"/>
                <w:sz w:val="22"/>
                <w:szCs w:val="22"/>
              </w:rPr>
            </w:pPr>
            <w:r>
              <w:rPr>
                <w:rFonts w:hint="eastAsia"/>
                <w:color w:val="000000"/>
                <w:sz w:val="22"/>
                <w:szCs w:val="22"/>
              </w:rPr>
              <w:t>23.121</w:t>
            </w:r>
          </w:p>
        </w:tc>
        <w:tc>
          <w:tcPr>
            <w:tcW w:w="1847" w:type="dxa"/>
            <w:vMerge w:val="restart"/>
            <w:tcBorders>
              <w:top w:val="single" w:sz="8" w:space="0" w:color="auto"/>
            </w:tcBorders>
            <w:vAlign w:val="center"/>
          </w:tcPr>
          <w:p w14:paraId="6438FB29" w14:textId="77777777" w:rsidR="00B66664" w:rsidRDefault="00264D9A">
            <w:pPr>
              <w:spacing w:line="360" w:lineRule="auto"/>
              <w:ind w:firstLineChars="0" w:firstLine="0"/>
              <w:jc w:val="center"/>
              <w:rPr>
                <w:color w:val="000000"/>
                <w:sz w:val="24"/>
              </w:rPr>
            </w:pPr>
            <w:r>
              <w:rPr>
                <w:color w:val="000000"/>
                <w:sz w:val="24"/>
              </w:rPr>
              <w:t>0.8</w:t>
            </w:r>
            <w:r>
              <w:rPr>
                <w:rFonts w:hint="eastAsia"/>
                <w:color w:val="000000"/>
                <w:sz w:val="24"/>
              </w:rPr>
              <w:t>0</w:t>
            </w:r>
          </w:p>
        </w:tc>
      </w:tr>
      <w:tr w:rsidR="00B66664" w14:paraId="071713B6" w14:textId="77777777">
        <w:trPr>
          <w:jc w:val="center"/>
        </w:trPr>
        <w:tc>
          <w:tcPr>
            <w:tcW w:w="1276" w:type="dxa"/>
            <w:vAlign w:val="center"/>
          </w:tcPr>
          <w:p w14:paraId="49E655EF" w14:textId="77777777" w:rsidR="00B66664" w:rsidRDefault="00264D9A">
            <w:pPr>
              <w:spacing w:line="360" w:lineRule="auto"/>
              <w:ind w:firstLineChars="0" w:firstLine="0"/>
              <w:jc w:val="center"/>
              <w:rPr>
                <w:kern w:val="0"/>
                <w:sz w:val="24"/>
              </w:rPr>
            </w:pPr>
            <w:r>
              <w:rPr>
                <w:kern w:val="0"/>
                <w:sz w:val="24"/>
              </w:rPr>
              <w:t>2</w:t>
            </w:r>
          </w:p>
        </w:tc>
        <w:tc>
          <w:tcPr>
            <w:tcW w:w="1538" w:type="dxa"/>
            <w:vAlign w:val="center"/>
          </w:tcPr>
          <w:p w14:paraId="247B90C3" w14:textId="77777777" w:rsidR="00B66664" w:rsidRDefault="00264D9A">
            <w:pPr>
              <w:spacing w:line="360" w:lineRule="auto"/>
              <w:ind w:firstLine="440"/>
              <w:jc w:val="center"/>
              <w:rPr>
                <w:rFonts w:ascii="宋体" w:hAnsi="宋体" w:cs="宋体"/>
                <w:color w:val="000000"/>
                <w:sz w:val="22"/>
                <w:szCs w:val="22"/>
              </w:rPr>
            </w:pPr>
            <w:r>
              <w:rPr>
                <w:rFonts w:hint="eastAsia"/>
                <w:color w:val="000000"/>
                <w:sz w:val="22"/>
                <w:szCs w:val="22"/>
              </w:rPr>
              <w:t>141.605</w:t>
            </w:r>
          </w:p>
        </w:tc>
        <w:tc>
          <w:tcPr>
            <w:tcW w:w="2334" w:type="dxa"/>
            <w:vAlign w:val="center"/>
          </w:tcPr>
          <w:p w14:paraId="336D41A3" w14:textId="77777777" w:rsidR="00B66664" w:rsidRDefault="00264D9A">
            <w:pPr>
              <w:spacing w:line="360" w:lineRule="auto"/>
              <w:ind w:firstLine="440"/>
              <w:jc w:val="center"/>
              <w:rPr>
                <w:rFonts w:ascii="宋体" w:hAnsi="宋体" w:cs="宋体"/>
                <w:color w:val="000000"/>
                <w:sz w:val="22"/>
                <w:szCs w:val="22"/>
              </w:rPr>
            </w:pPr>
            <w:r>
              <w:rPr>
                <w:rFonts w:hint="eastAsia"/>
                <w:color w:val="000000"/>
                <w:sz w:val="22"/>
                <w:szCs w:val="22"/>
              </w:rPr>
              <w:t>23.150</w:t>
            </w:r>
          </w:p>
        </w:tc>
        <w:tc>
          <w:tcPr>
            <w:tcW w:w="1847" w:type="dxa"/>
            <w:vMerge/>
            <w:vAlign w:val="center"/>
          </w:tcPr>
          <w:p w14:paraId="017BD7EB" w14:textId="77777777" w:rsidR="00B66664" w:rsidRDefault="00B66664">
            <w:pPr>
              <w:spacing w:line="360" w:lineRule="auto"/>
              <w:ind w:firstLineChars="0" w:firstLine="0"/>
              <w:jc w:val="center"/>
              <w:rPr>
                <w:kern w:val="0"/>
                <w:sz w:val="24"/>
              </w:rPr>
            </w:pPr>
          </w:p>
        </w:tc>
      </w:tr>
      <w:tr w:rsidR="00B66664" w14:paraId="749E2BAD" w14:textId="77777777">
        <w:trPr>
          <w:jc w:val="center"/>
        </w:trPr>
        <w:tc>
          <w:tcPr>
            <w:tcW w:w="1276" w:type="dxa"/>
            <w:vAlign w:val="center"/>
          </w:tcPr>
          <w:p w14:paraId="1B5BEF95" w14:textId="77777777" w:rsidR="00B66664" w:rsidRDefault="00264D9A">
            <w:pPr>
              <w:spacing w:line="360" w:lineRule="auto"/>
              <w:ind w:firstLineChars="0" w:firstLine="0"/>
              <w:jc w:val="center"/>
              <w:rPr>
                <w:kern w:val="0"/>
                <w:sz w:val="24"/>
              </w:rPr>
            </w:pPr>
            <w:r>
              <w:rPr>
                <w:kern w:val="0"/>
                <w:sz w:val="24"/>
              </w:rPr>
              <w:t>3</w:t>
            </w:r>
          </w:p>
        </w:tc>
        <w:tc>
          <w:tcPr>
            <w:tcW w:w="1538" w:type="dxa"/>
            <w:vAlign w:val="center"/>
          </w:tcPr>
          <w:p w14:paraId="3102EA87" w14:textId="77777777" w:rsidR="00B66664" w:rsidRDefault="00264D9A">
            <w:pPr>
              <w:spacing w:line="360" w:lineRule="auto"/>
              <w:ind w:firstLine="440"/>
              <w:jc w:val="center"/>
              <w:rPr>
                <w:rFonts w:ascii="宋体" w:hAnsi="宋体" w:cs="宋体"/>
                <w:color w:val="000000"/>
                <w:sz w:val="22"/>
                <w:szCs w:val="22"/>
              </w:rPr>
            </w:pPr>
            <w:r>
              <w:rPr>
                <w:rFonts w:hint="eastAsia"/>
                <w:color w:val="000000"/>
                <w:sz w:val="22"/>
                <w:szCs w:val="22"/>
              </w:rPr>
              <w:t>141.933</w:t>
            </w:r>
          </w:p>
        </w:tc>
        <w:tc>
          <w:tcPr>
            <w:tcW w:w="2334" w:type="dxa"/>
            <w:vAlign w:val="center"/>
          </w:tcPr>
          <w:p w14:paraId="57EC127F" w14:textId="77777777" w:rsidR="00B66664" w:rsidRDefault="00264D9A">
            <w:pPr>
              <w:spacing w:line="360" w:lineRule="auto"/>
              <w:ind w:firstLine="440"/>
              <w:jc w:val="center"/>
              <w:rPr>
                <w:rFonts w:ascii="宋体" w:hAnsi="宋体" w:cs="宋体"/>
                <w:color w:val="000000"/>
                <w:sz w:val="22"/>
                <w:szCs w:val="22"/>
              </w:rPr>
            </w:pPr>
            <w:r>
              <w:rPr>
                <w:rFonts w:hint="eastAsia"/>
                <w:color w:val="000000"/>
                <w:sz w:val="22"/>
                <w:szCs w:val="22"/>
              </w:rPr>
              <w:t>23.205</w:t>
            </w:r>
          </w:p>
        </w:tc>
        <w:tc>
          <w:tcPr>
            <w:tcW w:w="1847" w:type="dxa"/>
            <w:vMerge/>
            <w:vAlign w:val="center"/>
          </w:tcPr>
          <w:p w14:paraId="168E8558" w14:textId="77777777" w:rsidR="00B66664" w:rsidRDefault="00B66664">
            <w:pPr>
              <w:spacing w:line="360" w:lineRule="auto"/>
              <w:ind w:firstLineChars="0" w:firstLine="0"/>
              <w:jc w:val="center"/>
              <w:rPr>
                <w:kern w:val="0"/>
                <w:sz w:val="24"/>
              </w:rPr>
            </w:pPr>
          </w:p>
        </w:tc>
      </w:tr>
      <w:tr w:rsidR="00B66664" w14:paraId="74A86095" w14:textId="77777777">
        <w:trPr>
          <w:jc w:val="center"/>
        </w:trPr>
        <w:tc>
          <w:tcPr>
            <w:tcW w:w="1276" w:type="dxa"/>
            <w:vAlign w:val="center"/>
          </w:tcPr>
          <w:p w14:paraId="72FE7A37" w14:textId="77777777" w:rsidR="00B66664" w:rsidRDefault="00264D9A">
            <w:pPr>
              <w:spacing w:line="360" w:lineRule="auto"/>
              <w:ind w:firstLineChars="0" w:firstLine="0"/>
              <w:jc w:val="center"/>
              <w:rPr>
                <w:kern w:val="0"/>
                <w:sz w:val="24"/>
              </w:rPr>
            </w:pPr>
            <w:r>
              <w:rPr>
                <w:kern w:val="0"/>
                <w:sz w:val="24"/>
              </w:rPr>
              <w:t>4</w:t>
            </w:r>
          </w:p>
        </w:tc>
        <w:tc>
          <w:tcPr>
            <w:tcW w:w="1538" w:type="dxa"/>
            <w:vAlign w:val="center"/>
          </w:tcPr>
          <w:p w14:paraId="27A37F40" w14:textId="77777777" w:rsidR="00B66664" w:rsidRDefault="00264D9A">
            <w:pPr>
              <w:spacing w:line="360" w:lineRule="auto"/>
              <w:ind w:firstLine="440"/>
              <w:jc w:val="center"/>
              <w:rPr>
                <w:rFonts w:ascii="宋体" w:hAnsi="宋体" w:cs="宋体"/>
                <w:color w:val="000000"/>
                <w:sz w:val="22"/>
                <w:szCs w:val="22"/>
              </w:rPr>
            </w:pPr>
            <w:r>
              <w:rPr>
                <w:rFonts w:hint="eastAsia"/>
                <w:color w:val="000000"/>
                <w:sz w:val="22"/>
                <w:szCs w:val="22"/>
              </w:rPr>
              <w:t>141.410</w:t>
            </w:r>
          </w:p>
        </w:tc>
        <w:tc>
          <w:tcPr>
            <w:tcW w:w="2334" w:type="dxa"/>
            <w:vAlign w:val="center"/>
          </w:tcPr>
          <w:p w14:paraId="46558A0C" w14:textId="77777777" w:rsidR="00B66664" w:rsidRDefault="00264D9A">
            <w:pPr>
              <w:spacing w:line="360" w:lineRule="auto"/>
              <w:ind w:firstLine="440"/>
              <w:jc w:val="center"/>
              <w:rPr>
                <w:rFonts w:ascii="宋体" w:hAnsi="宋体" w:cs="宋体"/>
                <w:color w:val="000000"/>
                <w:sz w:val="22"/>
                <w:szCs w:val="22"/>
              </w:rPr>
            </w:pPr>
            <w:r>
              <w:rPr>
                <w:rFonts w:hint="eastAsia"/>
                <w:color w:val="000000"/>
                <w:sz w:val="22"/>
                <w:szCs w:val="22"/>
              </w:rPr>
              <w:t>23.117</w:t>
            </w:r>
          </w:p>
        </w:tc>
        <w:tc>
          <w:tcPr>
            <w:tcW w:w="1847" w:type="dxa"/>
            <w:vMerge/>
            <w:vAlign w:val="center"/>
          </w:tcPr>
          <w:p w14:paraId="5A9DD95B" w14:textId="77777777" w:rsidR="00B66664" w:rsidRDefault="00B66664">
            <w:pPr>
              <w:spacing w:line="360" w:lineRule="auto"/>
              <w:ind w:firstLineChars="0" w:firstLine="0"/>
              <w:jc w:val="center"/>
              <w:rPr>
                <w:kern w:val="0"/>
                <w:sz w:val="24"/>
              </w:rPr>
            </w:pPr>
          </w:p>
        </w:tc>
      </w:tr>
      <w:tr w:rsidR="00B66664" w14:paraId="6CD2F30A" w14:textId="77777777">
        <w:trPr>
          <w:jc w:val="center"/>
        </w:trPr>
        <w:tc>
          <w:tcPr>
            <w:tcW w:w="1276" w:type="dxa"/>
            <w:vAlign w:val="center"/>
          </w:tcPr>
          <w:p w14:paraId="7A8E1CE0" w14:textId="77777777" w:rsidR="00B66664" w:rsidRDefault="00264D9A">
            <w:pPr>
              <w:spacing w:line="360" w:lineRule="auto"/>
              <w:ind w:firstLineChars="0" w:firstLine="0"/>
              <w:jc w:val="center"/>
              <w:rPr>
                <w:kern w:val="0"/>
                <w:sz w:val="24"/>
              </w:rPr>
            </w:pPr>
            <w:r>
              <w:rPr>
                <w:kern w:val="0"/>
                <w:sz w:val="24"/>
              </w:rPr>
              <w:t>5</w:t>
            </w:r>
          </w:p>
        </w:tc>
        <w:tc>
          <w:tcPr>
            <w:tcW w:w="1538" w:type="dxa"/>
            <w:vAlign w:val="center"/>
          </w:tcPr>
          <w:p w14:paraId="38F6BB2E" w14:textId="77777777" w:rsidR="00B66664" w:rsidRDefault="00264D9A">
            <w:pPr>
              <w:spacing w:line="360" w:lineRule="auto"/>
              <w:ind w:firstLine="440"/>
              <w:jc w:val="center"/>
              <w:rPr>
                <w:rFonts w:ascii="宋体" w:hAnsi="宋体" w:cs="宋体"/>
                <w:color w:val="000000"/>
                <w:sz w:val="22"/>
                <w:szCs w:val="22"/>
              </w:rPr>
            </w:pPr>
            <w:r>
              <w:rPr>
                <w:rFonts w:hint="eastAsia"/>
                <w:color w:val="000000"/>
                <w:sz w:val="22"/>
                <w:szCs w:val="22"/>
              </w:rPr>
              <w:t>144.264</w:t>
            </w:r>
          </w:p>
        </w:tc>
        <w:tc>
          <w:tcPr>
            <w:tcW w:w="2334" w:type="dxa"/>
            <w:vAlign w:val="center"/>
          </w:tcPr>
          <w:p w14:paraId="6C77ACA6" w14:textId="77777777" w:rsidR="00B66664" w:rsidRDefault="00264D9A">
            <w:pPr>
              <w:spacing w:line="360" w:lineRule="auto"/>
              <w:ind w:firstLine="440"/>
              <w:jc w:val="center"/>
              <w:rPr>
                <w:rFonts w:ascii="宋体" w:hAnsi="宋体" w:cs="宋体"/>
                <w:color w:val="000000"/>
                <w:sz w:val="22"/>
                <w:szCs w:val="22"/>
              </w:rPr>
            </w:pPr>
            <w:r>
              <w:rPr>
                <w:rFonts w:hint="eastAsia"/>
                <w:color w:val="000000"/>
                <w:sz w:val="22"/>
                <w:szCs w:val="22"/>
              </w:rPr>
              <w:t>23.599</w:t>
            </w:r>
          </w:p>
        </w:tc>
        <w:tc>
          <w:tcPr>
            <w:tcW w:w="1847" w:type="dxa"/>
            <w:vMerge/>
            <w:vAlign w:val="center"/>
          </w:tcPr>
          <w:p w14:paraId="46274D72" w14:textId="77777777" w:rsidR="00B66664" w:rsidRDefault="00B66664">
            <w:pPr>
              <w:spacing w:line="360" w:lineRule="auto"/>
              <w:ind w:firstLineChars="0" w:firstLine="0"/>
              <w:jc w:val="center"/>
              <w:rPr>
                <w:kern w:val="0"/>
                <w:sz w:val="24"/>
              </w:rPr>
            </w:pPr>
          </w:p>
        </w:tc>
      </w:tr>
      <w:tr w:rsidR="00B66664" w14:paraId="0ABF6202" w14:textId="77777777">
        <w:trPr>
          <w:jc w:val="center"/>
        </w:trPr>
        <w:tc>
          <w:tcPr>
            <w:tcW w:w="1276" w:type="dxa"/>
            <w:tcBorders>
              <w:bottom w:val="single" w:sz="8" w:space="0" w:color="auto"/>
            </w:tcBorders>
            <w:vAlign w:val="center"/>
          </w:tcPr>
          <w:p w14:paraId="73C2C4A9" w14:textId="77777777" w:rsidR="00B66664" w:rsidRDefault="00264D9A">
            <w:pPr>
              <w:spacing w:line="360" w:lineRule="auto"/>
              <w:ind w:firstLineChars="0" w:firstLine="0"/>
              <w:jc w:val="center"/>
              <w:rPr>
                <w:kern w:val="0"/>
                <w:sz w:val="24"/>
              </w:rPr>
            </w:pPr>
            <w:r>
              <w:rPr>
                <w:kern w:val="0"/>
                <w:sz w:val="24"/>
              </w:rPr>
              <w:t>6</w:t>
            </w:r>
          </w:p>
        </w:tc>
        <w:tc>
          <w:tcPr>
            <w:tcW w:w="1538" w:type="dxa"/>
            <w:tcBorders>
              <w:bottom w:val="single" w:sz="8" w:space="0" w:color="auto"/>
            </w:tcBorders>
            <w:vAlign w:val="center"/>
          </w:tcPr>
          <w:p w14:paraId="11FF7551" w14:textId="77777777" w:rsidR="00B66664" w:rsidRDefault="00264D9A">
            <w:pPr>
              <w:spacing w:line="360" w:lineRule="auto"/>
              <w:ind w:firstLine="440"/>
              <w:jc w:val="center"/>
              <w:rPr>
                <w:rFonts w:ascii="宋体" w:hAnsi="宋体" w:cs="宋体"/>
                <w:color w:val="000000"/>
                <w:sz w:val="22"/>
                <w:szCs w:val="22"/>
              </w:rPr>
            </w:pPr>
            <w:r>
              <w:rPr>
                <w:rFonts w:hint="eastAsia"/>
                <w:color w:val="000000"/>
                <w:sz w:val="22"/>
                <w:szCs w:val="22"/>
              </w:rPr>
              <w:t>142.643</w:t>
            </w:r>
          </w:p>
        </w:tc>
        <w:tc>
          <w:tcPr>
            <w:tcW w:w="2334" w:type="dxa"/>
            <w:tcBorders>
              <w:bottom w:val="single" w:sz="8" w:space="0" w:color="auto"/>
            </w:tcBorders>
            <w:vAlign w:val="center"/>
          </w:tcPr>
          <w:p w14:paraId="104469E3" w14:textId="77777777" w:rsidR="00B66664" w:rsidRDefault="00264D9A">
            <w:pPr>
              <w:spacing w:line="360" w:lineRule="auto"/>
              <w:ind w:firstLine="440"/>
              <w:jc w:val="center"/>
              <w:rPr>
                <w:rFonts w:ascii="宋体" w:hAnsi="宋体" w:cs="宋体"/>
                <w:color w:val="000000"/>
                <w:sz w:val="22"/>
                <w:szCs w:val="22"/>
              </w:rPr>
            </w:pPr>
            <w:r>
              <w:rPr>
                <w:rFonts w:hint="eastAsia"/>
                <w:color w:val="000000"/>
                <w:sz w:val="22"/>
                <w:szCs w:val="22"/>
              </w:rPr>
              <w:t>23.325</w:t>
            </w:r>
          </w:p>
        </w:tc>
        <w:tc>
          <w:tcPr>
            <w:tcW w:w="1847" w:type="dxa"/>
            <w:vMerge/>
            <w:tcBorders>
              <w:bottom w:val="single" w:sz="8" w:space="0" w:color="auto"/>
            </w:tcBorders>
            <w:vAlign w:val="center"/>
          </w:tcPr>
          <w:p w14:paraId="2B9EEB8E" w14:textId="77777777" w:rsidR="00B66664" w:rsidRDefault="00B66664">
            <w:pPr>
              <w:spacing w:line="360" w:lineRule="auto"/>
              <w:ind w:firstLineChars="0" w:firstLine="0"/>
              <w:jc w:val="center"/>
              <w:rPr>
                <w:kern w:val="0"/>
                <w:sz w:val="24"/>
              </w:rPr>
            </w:pPr>
          </w:p>
        </w:tc>
      </w:tr>
    </w:tbl>
    <w:p w14:paraId="6B1F9BC6" w14:textId="77777777" w:rsidR="00B66664" w:rsidRDefault="00264D9A">
      <w:pPr>
        <w:pStyle w:val="a9"/>
      </w:pPr>
      <w:r>
        <w:rPr>
          <w:rFonts w:hint="eastAsia"/>
        </w:rPr>
        <w:t xml:space="preserve">5.5.2 </w:t>
      </w:r>
      <w:r>
        <w:rPr>
          <w:rFonts w:hint="eastAsia"/>
        </w:rPr>
        <w:t>多效唑精密性实验</w:t>
      </w:r>
    </w:p>
    <w:p w14:paraId="36A7EBD9" w14:textId="77777777" w:rsidR="00B66664" w:rsidRDefault="00264D9A">
      <w:pPr>
        <w:ind w:firstLine="560"/>
      </w:pPr>
      <w:r>
        <w:rPr>
          <w:rFonts w:hint="eastAsia"/>
        </w:rPr>
        <w:t>精密称取同批次样品</w:t>
      </w:r>
      <w:r>
        <w:rPr>
          <w:rFonts w:hint="eastAsia"/>
        </w:rPr>
        <w:t>1</w:t>
      </w:r>
      <w:r>
        <w:rPr>
          <w:rFonts w:hint="eastAsia"/>
        </w:rPr>
        <w:t>份，按该方法进行样品前处理，采用同样的色谱条件，同一样品连续进样六次，对精密性进行试验，试验结果见表</w:t>
      </w:r>
      <w:r>
        <w:rPr>
          <w:rFonts w:hint="eastAsia"/>
        </w:rPr>
        <w:t>4</w:t>
      </w:r>
      <w:r>
        <w:rPr>
          <w:rFonts w:hint="eastAsia"/>
        </w:rPr>
        <w:t>。从表中可以看出，检测得到的平均浓度为</w:t>
      </w:r>
      <w:r>
        <w:rPr>
          <w:rFonts w:hint="eastAsia"/>
        </w:rPr>
        <w:t>67.288</w:t>
      </w:r>
      <w:r>
        <w:t>μg/mL</w:t>
      </w:r>
      <w:r>
        <w:rPr>
          <w:rFonts w:hint="eastAsia"/>
        </w:rPr>
        <w:t>，</w:t>
      </w:r>
      <w:r>
        <w:rPr>
          <w:rFonts w:hint="eastAsia"/>
        </w:rPr>
        <w:t>RSD</w:t>
      </w:r>
      <w:r>
        <w:rPr>
          <w:rFonts w:hint="eastAsia"/>
        </w:rPr>
        <w:t>值为</w:t>
      </w:r>
      <w:r>
        <w:rPr>
          <w:rFonts w:hint="eastAsia"/>
        </w:rPr>
        <w:t>0.18%</w:t>
      </w:r>
      <w:r>
        <w:rPr>
          <w:rFonts w:hint="eastAsia"/>
        </w:rPr>
        <w:t>，</w:t>
      </w:r>
      <w:r>
        <w:rPr>
          <w:rFonts w:hint="eastAsia"/>
        </w:rPr>
        <w:lastRenderedPageBreak/>
        <w:t>符合一般色谱方法验证中对精密度</w:t>
      </w:r>
      <w:r>
        <w:rPr>
          <w:rFonts w:hint="eastAsia"/>
        </w:rPr>
        <w:t>RSD</w:t>
      </w:r>
      <w:r>
        <w:rPr>
          <w:rFonts w:hint="eastAsia"/>
        </w:rPr>
        <w:t>＜</w:t>
      </w:r>
      <w:r>
        <w:rPr>
          <w:rFonts w:hint="eastAsia"/>
        </w:rPr>
        <w:t>1%</w:t>
      </w:r>
      <w:r>
        <w:rPr>
          <w:rFonts w:hint="eastAsia"/>
        </w:rPr>
        <w:t>的要求。</w:t>
      </w:r>
    </w:p>
    <w:p w14:paraId="630FB37B" w14:textId="77777777" w:rsidR="00B66664" w:rsidRDefault="00264D9A">
      <w:pPr>
        <w:pStyle w:val="a3"/>
        <w:spacing w:after="156"/>
        <w:ind w:firstLine="480"/>
      </w:pPr>
      <w:r>
        <w:t>表</w:t>
      </w:r>
      <w:r>
        <w:rPr>
          <w:rFonts w:hint="eastAsia"/>
        </w:rPr>
        <w:t>4</w:t>
      </w:r>
      <w:r>
        <w:rPr>
          <w:rFonts w:hint="eastAsia"/>
        </w:rPr>
        <w:t>多效唑</w:t>
      </w:r>
      <w:r>
        <w:t>气相色谱检测方法精密</w:t>
      </w:r>
      <w:r>
        <w:rPr>
          <w:rFonts w:hint="eastAsia"/>
        </w:rPr>
        <w:t>度</w:t>
      </w:r>
      <w:r>
        <w:t>试验</w:t>
      </w:r>
    </w:p>
    <w:tbl>
      <w:tblPr>
        <w:tblW w:w="7013" w:type="dxa"/>
        <w:jc w:val="center"/>
        <w:tblBorders>
          <w:top w:val="single" w:sz="8" w:space="0" w:color="auto"/>
          <w:bottom w:val="single" w:sz="8" w:space="0" w:color="auto"/>
        </w:tblBorders>
        <w:tblLayout w:type="fixed"/>
        <w:tblLook w:val="04A0" w:firstRow="1" w:lastRow="0" w:firstColumn="1" w:lastColumn="0" w:noHBand="0" w:noVBand="1"/>
      </w:tblPr>
      <w:tblGrid>
        <w:gridCol w:w="1276"/>
        <w:gridCol w:w="1556"/>
        <w:gridCol w:w="2334"/>
        <w:gridCol w:w="1847"/>
      </w:tblGrid>
      <w:tr w:rsidR="00B66664" w14:paraId="3113BBDB" w14:textId="77777777">
        <w:trPr>
          <w:trHeight w:val="443"/>
          <w:jc w:val="center"/>
        </w:trPr>
        <w:tc>
          <w:tcPr>
            <w:tcW w:w="1276" w:type="dxa"/>
            <w:tcBorders>
              <w:top w:val="single" w:sz="8" w:space="0" w:color="auto"/>
              <w:bottom w:val="single" w:sz="8" w:space="0" w:color="auto"/>
            </w:tcBorders>
            <w:vAlign w:val="center"/>
          </w:tcPr>
          <w:p w14:paraId="6C6552BE" w14:textId="77777777" w:rsidR="00B66664" w:rsidRDefault="00264D9A">
            <w:pPr>
              <w:spacing w:line="360" w:lineRule="auto"/>
              <w:ind w:firstLineChars="0" w:firstLine="0"/>
              <w:jc w:val="center"/>
              <w:rPr>
                <w:kern w:val="0"/>
                <w:sz w:val="24"/>
              </w:rPr>
            </w:pPr>
            <w:r>
              <w:rPr>
                <w:rFonts w:hint="eastAsia"/>
                <w:kern w:val="0"/>
                <w:sz w:val="24"/>
              </w:rPr>
              <w:t>序号</w:t>
            </w:r>
          </w:p>
        </w:tc>
        <w:tc>
          <w:tcPr>
            <w:tcW w:w="1556" w:type="dxa"/>
            <w:tcBorders>
              <w:top w:val="single" w:sz="8" w:space="0" w:color="auto"/>
              <w:bottom w:val="single" w:sz="8" w:space="0" w:color="auto"/>
            </w:tcBorders>
            <w:vAlign w:val="center"/>
          </w:tcPr>
          <w:p w14:paraId="062433CB" w14:textId="77777777" w:rsidR="00B66664" w:rsidRDefault="00264D9A">
            <w:pPr>
              <w:spacing w:line="360" w:lineRule="auto"/>
              <w:ind w:firstLineChars="0" w:firstLine="0"/>
              <w:jc w:val="center"/>
              <w:rPr>
                <w:kern w:val="0"/>
                <w:sz w:val="24"/>
              </w:rPr>
            </w:pPr>
            <w:r>
              <w:rPr>
                <w:rFonts w:hint="eastAsia"/>
                <w:kern w:val="0"/>
                <w:sz w:val="24"/>
              </w:rPr>
              <w:t>峰面积</w:t>
            </w:r>
          </w:p>
        </w:tc>
        <w:tc>
          <w:tcPr>
            <w:tcW w:w="2334" w:type="dxa"/>
            <w:tcBorders>
              <w:top w:val="single" w:sz="8" w:space="0" w:color="auto"/>
              <w:bottom w:val="single" w:sz="8" w:space="0" w:color="auto"/>
            </w:tcBorders>
            <w:vAlign w:val="center"/>
          </w:tcPr>
          <w:p w14:paraId="35E3B476" w14:textId="77777777" w:rsidR="00B66664" w:rsidRDefault="00264D9A">
            <w:pPr>
              <w:spacing w:line="360" w:lineRule="auto"/>
              <w:ind w:firstLineChars="0" w:firstLine="0"/>
              <w:jc w:val="center"/>
              <w:rPr>
                <w:kern w:val="0"/>
                <w:sz w:val="24"/>
              </w:rPr>
            </w:pPr>
            <w:r>
              <w:rPr>
                <w:rFonts w:hint="eastAsia"/>
                <w:kern w:val="0"/>
                <w:sz w:val="24"/>
              </w:rPr>
              <w:t>浓度</w:t>
            </w:r>
            <w:r>
              <w:rPr>
                <w:kern w:val="0"/>
                <w:sz w:val="24"/>
              </w:rPr>
              <w:t>/</w:t>
            </w:r>
            <w:proofErr w:type="spellStart"/>
            <w:r>
              <w:rPr>
                <w:kern w:val="0"/>
                <w:sz w:val="24"/>
              </w:rPr>
              <w:t>μg</w:t>
            </w:r>
            <w:proofErr w:type="spellEnd"/>
            <w:r>
              <w:rPr>
                <w:kern w:val="0"/>
                <w:sz w:val="24"/>
              </w:rPr>
              <w:t>/mL</w:t>
            </w:r>
          </w:p>
        </w:tc>
        <w:tc>
          <w:tcPr>
            <w:tcW w:w="1847" w:type="dxa"/>
            <w:tcBorders>
              <w:top w:val="single" w:sz="8" w:space="0" w:color="auto"/>
              <w:bottom w:val="single" w:sz="8" w:space="0" w:color="auto"/>
            </w:tcBorders>
            <w:vAlign w:val="center"/>
          </w:tcPr>
          <w:p w14:paraId="7B8ED1CE" w14:textId="77777777" w:rsidR="00B66664" w:rsidRDefault="00264D9A">
            <w:pPr>
              <w:spacing w:line="360" w:lineRule="auto"/>
              <w:ind w:firstLineChars="0" w:firstLine="0"/>
              <w:jc w:val="center"/>
              <w:rPr>
                <w:kern w:val="0"/>
                <w:sz w:val="24"/>
              </w:rPr>
            </w:pPr>
            <w:r>
              <w:rPr>
                <w:kern w:val="0"/>
                <w:sz w:val="24"/>
              </w:rPr>
              <w:t>RSD</w:t>
            </w:r>
            <w:r>
              <w:rPr>
                <w:rFonts w:hAnsiTheme="minorEastAsia"/>
                <w:kern w:val="0"/>
                <w:sz w:val="24"/>
              </w:rPr>
              <w:t>（</w:t>
            </w:r>
            <w:r>
              <w:rPr>
                <w:kern w:val="0"/>
                <w:sz w:val="24"/>
              </w:rPr>
              <w:t>%</w:t>
            </w:r>
            <w:r>
              <w:rPr>
                <w:rFonts w:hAnsiTheme="minorEastAsia"/>
                <w:kern w:val="0"/>
                <w:sz w:val="24"/>
              </w:rPr>
              <w:t>，</w:t>
            </w:r>
            <w:r>
              <w:rPr>
                <w:kern w:val="0"/>
                <w:sz w:val="24"/>
              </w:rPr>
              <w:t>n=6</w:t>
            </w:r>
            <w:r>
              <w:rPr>
                <w:rFonts w:hAnsiTheme="minorEastAsia"/>
                <w:kern w:val="0"/>
                <w:sz w:val="24"/>
              </w:rPr>
              <w:t>）</w:t>
            </w:r>
          </w:p>
        </w:tc>
      </w:tr>
      <w:tr w:rsidR="00B66664" w14:paraId="7FAB95D6" w14:textId="77777777">
        <w:trPr>
          <w:jc w:val="center"/>
        </w:trPr>
        <w:tc>
          <w:tcPr>
            <w:tcW w:w="1276" w:type="dxa"/>
            <w:tcBorders>
              <w:top w:val="single" w:sz="8" w:space="0" w:color="auto"/>
            </w:tcBorders>
            <w:vAlign w:val="center"/>
          </w:tcPr>
          <w:p w14:paraId="5D1A8950" w14:textId="77777777" w:rsidR="00B66664" w:rsidRDefault="00264D9A">
            <w:pPr>
              <w:spacing w:line="360" w:lineRule="auto"/>
              <w:ind w:firstLineChars="0" w:firstLine="0"/>
              <w:jc w:val="center"/>
              <w:rPr>
                <w:kern w:val="0"/>
                <w:sz w:val="24"/>
              </w:rPr>
            </w:pPr>
            <w:r>
              <w:rPr>
                <w:kern w:val="0"/>
                <w:sz w:val="24"/>
              </w:rPr>
              <w:t>1</w:t>
            </w:r>
          </w:p>
        </w:tc>
        <w:tc>
          <w:tcPr>
            <w:tcW w:w="1556" w:type="dxa"/>
            <w:tcBorders>
              <w:top w:val="single" w:sz="8" w:space="0" w:color="auto"/>
            </w:tcBorders>
            <w:vAlign w:val="center"/>
          </w:tcPr>
          <w:p w14:paraId="5E12AA36" w14:textId="77777777" w:rsidR="00B66664" w:rsidRDefault="00264D9A">
            <w:pPr>
              <w:ind w:firstLine="480"/>
              <w:jc w:val="center"/>
              <w:rPr>
                <w:kern w:val="0"/>
                <w:sz w:val="24"/>
              </w:rPr>
            </w:pPr>
            <w:r>
              <w:rPr>
                <w:rFonts w:hint="eastAsia"/>
                <w:kern w:val="0"/>
                <w:sz w:val="24"/>
              </w:rPr>
              <w:t>365.267</w:t>
            </w:r>
          </w:p>
        </w:tc>
        <w:tc>
          <w:tcPr>
            <w:tcW w:w="2334" w:type="dxa"/>
            <w:tcBorders>
              <w:top w:val="single" w:sz="8" w:space="0" w:color="auto"/>
            </w:tcBorders>
            <w:vAlign w:val="center"/>
          </w:tcPr>
          <w:p w14:paraId="0D18C5E4" w14:textId="77777777" w:rsidR="00B66664" w:rsidRDefault="00264D9A">
            <w:pPr>
              <w:ind w:firstLine="480"/>
              <w:jc w:val="center"/>
              <w:rPr>
                <w:kern w:val="0"/>
                <w:sz w:val="24"/>
              </w:rPr>
            </w:pPr>
            <w:r>
              <w:rPr>
                <w:rFonts w:hint="eastAsia"/>
                <w:kern w:val="0"/>
                <w:sz w:val="24"/>
              </w:rPr>
              <w:t>67.313</w:t>
            </w:r>
          </w:p>
        </w:tc>
        <w:tc>
          <w:tcPr>
            <w:tcW w:w="1847" w:type="dxa"/>
            <w:vMerge w:val="restart"/>
            <w:tcBorders>
              <w:top w:val="single" w:sz="8" w:space="0" w:color="auto"/>
            </w:tcBorders>
            <w:vAlign w:val="center"/>
          </w:tcPr>
          <w:p w14:paraId="0A6C815D" w14:textId="77777777" w:rsidR="00B66664" w:rsidRDefault="00264D9A">
            <w:pPr>
              <w:spacing w:line="360" w:lineRule="auto"/>
              <w:ind w:firstLineChars="0" w:firstLine="0"/>
              <w:jc w:val="center"/>
              <w:rPr>
                <w:kern w:val="0"/>
                <w:sz w:val="24"/>
              </w:rPr>
            </w:pPr>
            <w:r>
              <w:rPr>
                <w:kern w:val="0"/>
                <w:sz w:val="24"/>
              </w:rPr>
              <w:t>0.</w:t>
            </w:r>
            <w:r>
              <w:rPr>
                <w:rFonts w:hint="eastAsia"/>
                <w:kern w:val="0"/>
                <w:sz w:val="24"/>
              </w:rPr>
              <w:t>18</w:t>
            </w:r>
          </w:p>
        </w:tc>
      </w:tr>
      <w:tr w:rsidR="00B66664" w14:paraId="19C73663" w14:textId="77777777">
        <w:trPr>
          <w:jc w:val="center"/>
        </w:trPr>
        <w:tc>
          <w:tcPr>
            <w:tcW w:w="1276" w:type="dxa"/>
            <w:vAlign w:val="center"/>
          </w:tcPr>
          <w:p w14:paraId="74A036C3" w14:textId="77777777" w:rsidR="00B66664" w:rsidRDefault="00264D9A">
            <w:pPr>
              <w:spacing w:line="360" w:lineRule="auto"/>
              <w:ind w:firstLineChars="0" w:firstLine="0"/>
              <w:jc w:val="center"/>
              <w:rPr>
                <w:kern w:val="0"/>
                <w:sz w:val="24"/>
              </w:rPr>
            </w:pPr>
            <w:r>
              <w:rPr>
                <w:kern w:val="0"/>
                <w:sz w:val="24"/>
              </w:rPr>
              <w:t>2</w:t>
            </w:r>
          </w:p>
        </w:tc>
        <w:tc>
          <w:tcPr>
            <w:tcW w:w="1556" w:type="dxa"/>
            <w:vAlign w:val="center"/>
          </w:tcPr>
          <w:p w14:paraId="4161D924" w14:textId="77777777" w:rsidR="00B66664" w:rsidRDefault="00264D9A">
            <w:pPr>
              <w:ind w:firstLine="480"/>
              <w:jc w:val="center"/>
              <w:rPr>
                <w:kern w:val="0"/>
                <w:sz w:val="24"/>
              </w:rPr>
            </w:pPr>
            <w:r>
              <w:rPr>
                <w:rFonts w:hint="eastAsia"/>
                <w:kern w:val="0"/>
                <w:sz w:val="24"/>
              </w:rPr>
              <w:t>365.822</w:t>
            </w:r>
          </w:p>
        </w:tc>
        <w:tc>
          <w:tcPr>
            <w:tcW w:w="2334" w:type="dxa"/>
            <w:vAlign w:val="center"/>
          </w:tcPr>
          <w:p w14:paraId="61D40F1F" w14:textId="77777777" w:rsidR="00B66664" w:rsidRDefault="00264D9A">
            <w:pPr>
              <w:ind w:firstLine="480"/>
              <w:jc w:val="center"/>
              <w:rPr>
                <w:kern w:val="0"/>
                <w:sz w:val="24"/>
              </w:rPr>
            </w:pPr>
            <w:r>
              <w:rPr>
                <w:rFonts w:hint="eastAsia"/>
                <w:kern w:val="0"/>
                <w:sz w:val="24"/>
              </w:rPr>
              <w:t>67.416</w:t>
            </w:r>
          </w:p>
        </w:tc>
        <w:tc>
          <w:tcPr>
            <w:tcW w:w="1847" w:type="dxa"/>
            <w:vMerge/>
            <w:vAlign w:val="center"/>
          </w:tcPr>
          <w:p w14:paraId="1F54F852" w14:textId="77777777" w:rsidR="00B66664" w:rsidRDefault="00B66664">
            <w:pPr>
              <w:spacing w:line="360" w:lineRule="auto"/>
              <w:ind w:firstLineChars="0" w:firstLine="0"/>
              <w:jc w:val="center"/>
              <w:rPr>
                <w:kern w:val="0"/>
                <w:sz w:val="24"/>
              </w:rPr>
            </w:pPr>
          </w:p>
        </w:tc>
      </w:tr>
      <w:tr w:rsidR="00B66664" w14:paraId="2710199B" w14:textId="77777777">
        <w:trPr>
          <w:jc w:val="center"/>
        </w:trPr>
        <w:tc>
          <w:tcPr>
            <w:tcW w:w="1276" w:type="dxa"/>
            <w:vAlign w:val="center"/>
          </w:tcPr>
          <w:p w14:paraId="0A7E2A37" w14:textId="77777777" w:rsidR="00B66664" w:rsidRDefault="00264D9A">
            <w:pPr>
              <w:spacing w:line="360" w:lineRule="auto"/>
              <w:ind w:firstLineChars="0" w:firstLine="0"/>
              <w:jc w:val="center"/>
              <w:rPr>
                <w:kern w:val="0"/>
                <w:sz w:val="24"/>
              </w:rPr>
            </w:pPr>
            <w:r>
              <w:rPr>
                <w:kern w:val="0"/>
                <w:sz w:val="24"/>
              </w:rPr>
              <w:t>3</w:t>
            </w:r>
          </w:p>
        </w:tc>
        <w:tc>
          <w:tcPr>
            <w:tcW w:w="1556" w:type="dxa"/>
            <w:vAlign w:val="center"/>
          </w:tcPr>
          <w:p w14:paraId="252646F1" w14:textId="77777777" w:rsidR="00B66664" w:rsidRDefault="00264D9A">
            <w:pPr>
              <w:ind w:firstLine="480"/>
              <w:jc w:val="center"/>
              <w:rPr>
                <w:kern w:val="0"/>
                <w:sz w:val="24"/>
              </w:rPr>
            </w:pPr>
            <w:r>
              <w:rPr>
                <w:rFonts w:hint="eastAsia"/>
                <w:kern w:val="0"/>
                <w:sz w:val="24"/>
              </w:rPr>
              <w:t>365.772</w:t>
            </w:r>
          </w:p>
        </w:tc>
        <w:tc>
          <w:tcPr>
            <w:tcW w:w="2334" w:type="dxa"/>
            <w:vAlign w:val="center"/>
          </w:tcPr>
          <w:p w14:paraId="487C3F8D" w14:textId="77777777" w:rsidR="00B66664" w:rsidRDefault="00264D9A">
            <w:pPr>
              <w:ind w:firstLine="480"/>
              <w:jc w:val="center"/>
              <w:rPr>
                <w:kern w:val="0"/>
                <w:sz w:val="24"/>
              </w:rPr>
            </w:pPr>
            <w:r>
              <w:rPr>
                <w:rFonts w:hint="eastAsia"/>
                <w:kern w:val="0"/>
                <w:sz w:val="24"/>
              </w:rPr>
              <w:t>67.407</w:t>
            </w:r>
          </w:p>
        </w:tc>
        <w:tc>
          <w:tcPr>
            <w:tcW w:w="1847" w:type="dxa"/>
            <w:vMerge/>
            <w:vAlign w:val="center"/>
          </w:tcPr>
          <w:p w14:paraId="619EE04F" w14:textId="77777777" w:rsidR="00B66664" w:rsidRDefault="00B66664">
            <w:pPr>
              <w:spacing w:line="360" w:lineRule="auto"/>
              <w:ind w:firstLineChars="0" w:firstLine="0"/>
              <w:jc w:val="center"/>
              <w:rPr>
                <w:kern w:val="0"/>
                <w:sz w:val="24"/>
              </w:rPr>
            </w:pPr>
          </w:p>
        </w:tc>
      </w:tr>
      <w:tr w:rsidR="00B66664" w14:paraId="53823C71" w14:textId="77777777">
        <w:trPr>
          <w:jc w:val="center"/>
        </w:trPr>
        <w:tc>
          <w:tcPr>
            <w:tcW w:w="1276" w:type="dxa"/>
            <w:vAlign w:val="center"/>
          </w:tcPr>
          <w:p w14:paraId="2FB32028" w14:textId="77777777" w:rsidR="00B66664" w:rsidRDefault="00264D9A">
            <w:pPr>
              <w:spacing w:line="360" w:lineRule="auto"/>
              <w:ind w:firstLineChars="0" w:firstLine="0"/>
              <w:jc w:val="center"/>
              <w:rPr>
                <w:kern w:val="0"/>
                <w:sz w:val="24"/>
              </w:rPr>
            </w:pPr>
            <w:r>
              <w:rPr>
                <w:kern w:val="0"/>
                <w:sz w:val="24"/>
              </w:rPr>
              <w:t>4</w:t>
            </w:r>
          </w:p>
        </w:tc>
        <w:tc>
          <w:tcPr>
            <w:tcW w:w="1556" w:type="dxa"/>
            <w:vAlign w:val="center"/>
          </w:tcPr>
          <w:p w14:paraId="05E57800" w14:textId="77777777" w:rsidR="00B66664" w:rsidRDefault="00264D9A">
            <w:pPr>
              <w:ind w:firstLine="480"/>
              <w:jc w:val="center"/>
              <w:rPr>
                <w:kern w:val="0"/>
                <w:sz w:val="24"/>
              </w:rPr>
            </w:pPr>
            <w:r>
              <w:rPr>
                <w:rFonts w:hint="eastAsia"/>
                <w:kern w:val="0"/>
                <w:sz w:val="24"/>
              </w:rPr>
              <w:t>364.896</w:t>
            </w:r>
          </w:p>
        </w:tc>
        <w:tc>
          <w:tcPr>
            <w:tcW w:w="2334" w:type="dxa"/>
            <w:vAlign w:val="center"/>
          </w:tcPr>
          <w:p w14:paraId="4F3946D4" w14:textId="77777777" w:rsidR="00B66664" w:rsidRDefault="00264D9A">
            <w:pPr>
              <w:ind w:firstLine="480"/>
              <w:jc w:val="center"/>
              <w:rPr>
                <w:kern w:val="0"/>
                <w:sz w:val="24"/>
              </w:rPr>
            </w:pPr>
            <w:r>
              <w:rPr>
                <w:rFonts w:hint="eastAsia"/>
                <w:kern w:val="0"/>
                <w:sz w:val="24"/>
              </w:rPr>
              <w:t>67.244</w:t>
            </w:r>
          </w:p>
        </w:tc>
        <w:tc>
          <w:tcPr>
            <w:tcW w:w="1847" w:type="dxa"/>
            <w:vMerge/>
            <w:vAlign w:val="center"/>
          </w:tcPr>
          <w:p w14:paraId="635F2102" w14:textId="77777777" w:rsidR="00B66664" w:rsidRDefault="00B66664">
            <w:pPr>
              <w:spacing w:line="360" w:lineRule="auto"/>
              <w:ind w:firstLineChars="0" w:firstLine="0"/>
              <w:jc w:val="center"/>
              <w:rPr>
                <w:kern w:val="0"/>
                <w:sz w:val="24"/>
              </w:rPr>
            </w:pPr>
          </w:p>
        </w:tc>
      </w:tr>
      <w:tr w:rsidR="00B66664" w14:paraId="2122232F" w14:textId="77777777">
        <w:trPr>
          <w:jc w:val="center"/>
        </w:trPr>
        <w:tc>
          <w:tcPr>
            <w:tcW w:w="1276" w:type="dxa"/>
            <w:vAlign w:val="center"/>
          </w:tcPr>
          <w:p w14:paraId="46559869" w14:textId="77777777" w:rsidR="00B66664" w:rsidRDefault="00264D9A">
            <w:pPr>
              <w:spacing w:line="360" w:lineRule="auto"/>
              <w:ind w:firstLineChars="0" w:firstLine="0"/>
              <w:jc w:val="center"/>
              <w:rPr>
                <w:kern w:val="0"/>
                <w:sz w:val="24"/>
              </w:rPr>
            </w:pPr>
            <w:r>
              <w:rPr>
                <w:kern w:val="0"/>
                <w:sz w:val="24"/>
              </w:rPr>
              <w:t>5</w:t>
            </w:r>
          </w:p>
        </w:tc>
        <w:tc>
          <w:tcPr>
            <w:tcW w:w="1556" w:type="dxa"/>
            <w:vAlign w:val="center"/>
          </w:tcPr>
          <w:p w14:paraId="5CC4DA6C" w14:textId="77777777" w:rsidR="00B66664" w:rsidRDefault="00264D9A">
            <w:pPr>
              <w:ind w:firstLine="480"/>
              <w:jc w:val="center"/>
              <w:rPr>
                <w:kern w:val="0"/>
                <w:sz w:val="24"/>
              </w:rPr>
            </w:pPr>
            <w:r>
              <w:rPr>
                <w:rFonts w:hint="eastAsia"/>
                <w:kern w:val="0"/>
                <w:sz w:val="24"/>
              </w:rPr>
              <w:t>364.048</w:t>
            </w:r>
          </w:p>
        </w:tc>
        <w:tc>
          <w:tcPr>
            <w:tcW w:w="2334" w:type="dxa"/>
            <w:vAlign w:val="center"/>
          </w:tcPr>
          <w:p w14:paraId="06FC38C1" w14:textId="77777777" w:rsidR="00B66664" w:rsidRDefault="00264D9A">
            <w:pPr>
              <w:ind w:firstLine="480"/>
              <w:jc w:val="center"/>
              <w:rPr>
                <w:kern w:val="0"/>
                <w:sz w:val="24"/>
              </w:rPr>
            </w:pPr>
            <w:r>
              <w:rPr>
                <w:rFonts w:hint="eastAsia"/>
                <w:kern w:val="0"/>
                <w:sz w:val="24"/>
              </w:rPr>
              <w:t>67.086</w:t>
            </w:r>
          </w:p>
        </w:tc>
        <w:tc>
          <w:tcPr>
            <w:tcW w:w="1847" w:type="dxa"/>
            <w:vMerge/>
            <w:vAlign w:val="center"/>
          </w:tcPr>
          <w:p w14:paraId="1519FD96" w14:textId="77777777" w:rsidR="00B66664" w:rsidRDefault="00B66664">
            <w:pPr>
              <w:spacing w:line="360" w:lineRule="auto"/>
              <w:ind w:firstLineChars="0" w:firstLine="0"/>
              <w:jc w:val="center"/>
              <w:rPr>
                <w:kern w:val="0"/>
                <w:sz w:val="24"/>
              </w:rPr>
            </w:pPr>
          </w:p>
        </w:tc>
      </w:tr>
      <w:tr w:rsidR="00B66664" w14:paraId="4075F259" w14:textId="77777777">
        <w:trPr>
          <w:jc w:val="center"/>
        </w:trPr>
        <w:tc>
          <w:tcPr>
            <w:tcW w:w="1276" w:type="dxa"/>
            <w:tcBorders>
              <w:bottom w:val="single" w:sz="8" w:space="0" w:color="auto"/>
            </w:tcBorders>
            <w:vAlign w:val="center"/>
          </w:tcPr>
          <w:p w14:paraId="35AC84B0" w14:textId="77777777" w:rsidR="00B66664" w:rsidRDefault="00264D9A">
            <w:pPr>
              <w:spacing w:line="360" w:lineRule="auto"/>
              <w:ind w:firstLineChars="0" w:firstLine="0"/>
              <w:jc w:val="center"/>
              <w:rPr>
                <w:kern w:val="0"/>
                <w:sz w:val="24"/>
              </w:rPr>
            </w:pPr>
            <w:r>
              <w:rPr>
                <w:kern w:val="0"/>
                <w:sz w:val="24"/>
              </w:rPr>
              <w:t>6</w:t>
            </w:r>
          </w:p>
        </w:tc>
        <w:tc>
          <w:tcPr>
            <w:tcW w:w="1556" w:type="dxa"/>
            <w:tcBorders>
              <w:bottom w:val="single" w:sz="8" w:space="0" w:color="auto"/>
            </w:tcBorders>
            <w:vAlign w:val="center"/>
          </w:tcPr>
          <w:p w14:paraId="366B19C6" w14:textId="77777777" w:rsidR="00B66664" w:rsidRDefault="00264D9A">
            <w:pPr>
              <w:ind w:firstLine="480"/>
              <w:jc w:val="center"/>
              <w:rPr>
                <w:kern w:val="0"/>
                <w:sz w:val="24"/>
              </w:rPr>
            </w:pPr>
            <w:r>
              <w:rPr>
                <w:rFonts w:hint="eastAsia"/>
                <w:kern w:val="0"/>
                <w:sz w:val="24"/>
              </w:rPr>
              <w:t>365.000</w:t>
            </w:r>
          </w:p>
        </w:tc>
        <w:tc>
          <w:tcPr>
            <w:tcW w:w="2334" w:type="dxa"/>
            <w:tcBorders>
              <w:bottom w:val="single" w:sz="8" w:space="0" w:color="auto"/>
            </w:tcBorders>
            <w:vAlign w:val="center"/>
          </w:tcPr>
          <w:p w14:paraId="45C87F7F" w14:textId="77777777" w:rsidR="00B66664" w:rsidRDefault="00264D9A">
            <w:pPr>
              <w:ind w:firstLine="480"/>
              <w:jc w:val="center"/>
              <w:rPr>
                <w:kern w:val="0"/>
                <w:sz w:val="24"/>
              </w:rPr>
            </w:pPr>
            <w:r>
              <w:rPr>
                <w:rFonts w:hint="eastAsia"/>
                <w:kern w:val="0"/>
                <w:sz w:val="24"/>
              </w:rPr>
              <w:t>67.263</w:t>
            </w:r>
          </w:p>
        </w:tc>
        <w:tc>
          <w:tcPr>
            <w:tcW w:w="1847" w:type="dxa"/>
            <w:vMerge/>
            <w:tcBorders>
              <w:bottom w:val="single" w:sz="8" w:space="0" w:color="auto"/>
            </w:tcBorders>
            <w:vAlign w:val="center"/>
          </w:tcPr>
          <w:p w14:paraId="37CFF850" w14:textId="77777777" w:rsidR="00B66664" w:rsidRDefault="00B66664">
            <w:pPr>
              <w:spacing w:line="360" w:lineRule="auto"/>
              <w:ind w:firstLineChars="0" w:firstLine="0"/>
              <w:jc w:val="center"/>
              <w:rPr>
                <w:kern w:val="0"/>
                <w:sz w:val="24"/>
              </w:rPr>
            </w:pPr>
          </w:p>
        </w:tc>
      </w:tr>
    </w:tbl>
    <w:p w14:paraId="07DF1FA5" w14:textId="77777777" w:rsidR="00B66664" w:rsidRDefault="00264D9A">
      <w:pPr>
        <w:pStyle w:val="2"/>
      </w:pPr>
      <w:bookmarkStart w:id="22" w:name="_Toc25410"/>
      <w:r>
        <w:rPr>
          <w:rFonts w:hint="eastAsia"/>
        </w:rPr>
        <w:t>5.6</w:t>
      </w:r>
      <w:r>
        <w:rPr>
          <w:rFonts w:hint="eastAsia"/>
        </w:rPr>
        <w:t>方法重复性实验</w:t>
      </w:r>
      <w:bookmarkEnd w:id="22"/>
    </w:p>
    <w:p w14:paraId="15CDB238" w14:textId="77777777" w:rsidR="00B66664" w:rsidRDefault="00264D9A">
      <w:pPr>
        <w:pStyle w:val="a9"/>
      </w:pPr>
      <w:r>
        <w:rPr>
          <w:rFonts w:hint="eastAsia"/>
        </w:rPr>
        <w:t xml:space="preserve">5.6.1 </w:t>
      </w:r>
      <w:r>
        <w:rPr>
          <w:rFonts w:hint="eastAsia"/>
        </w:rPr>
        <w:t>胺鲜酯重复性</w:t>
      </w:r>
    </w:p>
    <w:p w14:paraId="0F3AC771" w14:textId="77777777" w:rsidR="00B66664" w:rsidRDefault="00264D9A">
      <w:pPr>
        <w:ind w:firstLine="560"/>
      </w:pPr>
      <w:r>
        <w:rPr>
          <w:rFonts w:hint="eastAsia"/>
        </w:rPr>
        <w:t>称取同一批次样品</w:t>
      </w:r>
      <w:r>
        <w:rPr>
          <w:rFonts w:hint="eastAsia"/>
        </w:rPr>
        <w:t>6</w:t>
      </w:r>
      <w:r>
        <w:rPr>
          <w:rFonts w:hint="eastAsia"/>
        </w:rPr>
        <w:t>份，按该方法进行样品前处理，采用同样的色谱条件，对</w:t>
      </w:r>
      <w:r>
        <w:rPr>
          <w:rFonts w:hint="eastAsia"/>
        </w:rPr>
        <w:t>6</w:t>
      </w:r>
      <w:r>
        <w:rPr>
          <w:rFonts w:hint="eastAsia"/>
        </w:rPr>
        <w:t>份样品连续进样，检测方法的重复性，试验结果见表</w:t>
      </w:r>
      <w:r>
        <w:rPr>
          <w:rFonts w:hint="eastAsia"/>
        </w:rPr>
        <w:t>5</w:t>
      </w:r>
      <w:r>
        <w:rPr>
          <w:rFonts w:hint="eastAsia"/>
        </w:rPr>
        <w:t>。从表中可以看出，检测得到的平均含量为</w:t>
      </w:r>
      <w:r>
        <w:rPr>
          <w:rFonts w:hint="eastAsia"/>
        </w:rPr>
        <w:t>0.171%</w:t>
      </w:r>
      <w:r>
        <w:rPr>
          <w:rFonts w:hint="eastAsia"/>
        </w:rPr>
        <w:t>，</w:t>
      </w:r>
      <w:r>
        <w:rPr>
          <w:rFonts w:hint="eastAsia"/>
        </w:rPr>
        <w:t>RSD</w:t>
      </w:r>
      <w:r>
        <w:rPr>
          <w:rFonts w:hint="eastAsia"/>
        </w:rPr>
        <w:t>值为</w:t>
      </w:r>
      <w:r>
        <w:rPr>
          <w:rFonts w:hint="eastAsia"/>
        </w:rPr>
        <w:t>4.84%</w:t>
      </w:r>
      <w:r>
        <w:rPr>
          <w:rFonts w:hint="eastAsia"/>
        </w:rPr>
        <w:t>，符合一般色谱方法验证中对方法重复性</w:t>
      </w:r>
      <w:r>
        <w:rPr>
          <w:rFonts w:hint="eastAsia"/>
        </w:rPr>
        <w:t>RSD</w:t>
      </w:r>
      <w:r>
        <w:rPr>
          <w:rFonts w:hint="eastAsia"/>
        </w:rPr>
        <w:t>＜</w:t>
      </w:r>
      <w:r>
        <w:rPr>
          <w:rFonts w:hint="eastAsia"/>
        </w:rPr>
        <w:t>10%</w:t>
      </w:r>
      <w:r>
        <w:rPr>
          <w:rFonts w:hint="eastAsia"/>
        </w:rPr>
        <w:t>的要求。</w:t>
      </w:r>
    </w:p>
    <w:p w14:paraId="5D01FD43" w14:textId="77777777" w:rsidR="00B66664" w:rsidRDefault="00264D9A">
      <w:pPr>
        <w:pStyle w:val="a3"/>
        <w:spacing w:after="156"/>
        <w:ind w:firstLine="480"/>
      </w:pPr>
      <w:r>
        <w:t>表</w:t>
      </w:r>
      <w:r>
        <w:rPr>
          <w:rFonts w:hint="eastAsia"/>
        </w:rPr>
        <w:t>5</w:t>
      </w:r>
      <w:r>
        <w:rPr>
          <w:rFonts w:hint="eastAsia"/>
        </w:rPr>
        <w:t>胺鲜酯</w:t>
      </w:r>
      <w:r>
        <w:t>气相色谱检测方法</w:t>
      </w:r>
      <w:r>
        <w:rPr>
          <w:rFonts w:hint="eastAsia"/>
        </w:rPr>
        <w:t>重复性</w:t>
      </w:r>
      <w:r>
        <w:t>试验</w:t>
      </w:r>
    </w:p>
    <w:tbl>
      <w:tblPr>
        <w:tblW w:w="7947" w:type="dxa"/>
        <w:jc w:val="center"/>
        <w:tblBorders>
          <w:top w:val="single" w:sz="8" w:space="0" w:color="auto"/>
          <w:bottom w:val="single" w:sz="8" w:space="0" w:color="auto"/>
        </w:tblBorders>
        <w:tblLayout w:type="fixed"/>
        <w:tblLook w:val="04A0" w:firstRow="1" w:lastRow="0" w:firstColumn="1" w:lastColumn="0" w:noHBand="0" w:noVBand="1"/>
      </w:tblPr>
      <w:tblGrid>
        <w:gridCol w:w="913"/>
        <w:gridCol w:w="1405"/>
        <w:gridCol w:w="1989"/>
        <w:gridCol w:w="1813"/>
        <w:gridCol w:w="1827"/>
      </w:tblGrid>
      <w:tr w:rsidR="00B66664" w14:paraId="442C6ABC" w14:textId="77777777">
        <w:trPr>
          <w:trHeight w:val="443"/>
          <w:jc w:val="center"/>
        </w:trPr>
        <w:tc>
          <w:tcPr>
            <w:tcW w:w="913" w:type="dxa"/>
            <w:tcBorders>
              <w:top w:val="single" w:sz="8" w:space="0" w:color="auto"/>
              <w:bottom w:val="single" w:sz="8" w:space="0" w:color="auto"/>
            </w:tcBorders>
            <w:vAlign w:val="center"/>
          </w:tcPr>
          <w:p w14:paraId="305DCA8F" w14:textId="77777777" w:rsidR="00B66664" w:rsidRDefault="00264D9A">
            <w:pPr>
              <w:spacing w:line="360" w:lineRule="auto"/>
              <w:ind w:firstLineChars="0" w:firstLine="0"/>
              <w:jc w:val="center"/>
              <w:rPr>
                <w:kern w:val="0"/>
                <w:sz w:val="24"/>
              </w:rPr>
            </w:pPr>
            <w:r>
              <w:rPr>
                <w:rFonts w:hint="eastAsia"/>
                <w:kern w:val="0"/>
                <w:sz w:val="24"/>
              </w:rPr>
              <w:t>序号</w:t>
            </w:r>
          </w:p>
        </w:tc>
        <w:tc>
          <w:tcPr>
            <w:tcW w:w="1405" w:type="dxa"/>
            <w:tcBorders>
              <w:top w:val="single" w:sz="8" w:space="0" w:color="auto"/>
              <w:bottom w:val="single" w:sz="8" w:space="0" w:color="auto"/>
            </w:tcBorders>
            <w:vAlign w:val="center"/>
          </w:tcPr>
          <w:p w14:paraId="193093E9" w14:textId="77777777" w:rsidR="00B66664" w:rsidRDefault="00264D9A">
            <w:pPr>
              <w:spacing w:line="360" w:lineRule="auto"/>
              <w:ind w:firstLineChars="0" w:firstLine="0"/>
              <w:jc w:val="center"/>
              <w:rPr>
                <w:kern w:val="0"/>
                <w:sz w:val="24"/>
              </w:rPr>
            </w:pPr>
            <w:r>
              <w:rPr>
                <w:rFonts w:hint="eastAsia"/>
                <w:kern w:val="0"/>
                <w:sz w:val="24"/>
              </w:rPr>
              <w:t>称样量</w:t>
            </w:r>
            <w:r>
              <w:rPr>
                <w:rFonts w:hint="eastAsia"/>
                <w:kern w:val="0"/>
                <w:sz w:val="24"/>
              </w:rPr>
              <w:t>/g</w:t>
            </w:r>
          </w:p>
        </w:tc>
        <w:tc>
          <w:tcPr>
            <w:tcW w:w="1989" w:type="dxa"/>
            <w:tcBorders>
              <w:top w:val="single" w:sz="8" w:space="0" w:color="auto"/>
              <w:bottom w:val="single" w:sz="8" w:space="0" w:color="auto"/>
            </w:tcBorders>
            <w:vAlign w:val="center"/>
          </w:tcPr>
          <w:p w14:paraId="77A721D1" w14:textId="77777777" w:rsidR="00B66664" w:rsidRDefault="00264D9A">
            <w:pPr>
              <w:spacing w:line="360" w:lineRule="auto"/>
              <w:ind w:firstLineChars="0" w:firstLine="0"/>
              <w:jc w:val="center"/>
              <w:rPr>
                <w:kern w:val="0"/>
                <w:sz w:val="24"/>
              </w:rPr>
            </w:pPr>
            <w:r>
              <w:rPr>
                <w:rFonts w:hint="eastAsia"/>
                <w:kern w:val="0"/>
                <w:sz w:val="24"/>
              </w:rPr>
              <w:t>样品浓度</w:t>
            </w:r>
            <w:r>
              <w:rPr>
                <w:kern w:val="0"/>
                <w:sz w:val="24"/>
              </w:rPr>
              <w:t>/</w:t>
            </w:r>
            <w:proofErr w:type="spellStart"/>
            <w:r>
              <w:rPr>
                <w:kern w:val="0"/>
                <w:sz w:val="24"/>
              </w:rPr>
              <w:t>μg</w:t>
            </w:r>
            <w:proofErr w:type="spellEnd"/>
            <w:r>
              <w:rPr>
                <w:kern w:val="0"/>
                <w:sz w:val="24"/>
              </w:rPr>
              <w:t>/mL</w:t>
            </w:r>
          </w:p>
        </w:tc>
        <w:tc>
          <w:tcPr>
            <w:tcW w:w="1813" w:type="dxa"/>
            <w:tcBorders>
              <w:top w:val="single" w:sz="8" w:space="0" w:color="auto"/>
              <w:bottom w:val="single" w:sz="8" w:space="0" w:color="auto"/>
            </w:tcBorders>
          </w:tcPr>
          <w:p w14:paraId="61C93666" w14:textId="77777777" w:rsidR="00B66664" w:rsidRDefault="00264D9A">
            <w:pPr>
              <w:spacing w:line="360" w:lineRule="auto"/>
              <w:ind w:firstLineChars="0" w:firstLine="0"/>
              <w:jc w:val="center"/>
              <w:rPr>
                <w:kern w:val="0"/>
                <w:sz w:val="24"/>
              </w:rPr>
            </w:pPr>
            <w:r>
              <w:rPr>
                <w:rFonts w:hint="eastAsia"/>
                <w:kern w:val="0"/>
                <w:sz w:val="24"/>
              </w:rPr>
              <w:t>样品含量</w:t>
            </w:r>
            <w:r>
              <w:rPr>
                <w:rFonts w:hint="eastAsia"/>
                <w:kern w:val="0"/>
                <w:sz w:val="24"/>
              </w:rPr>
              <w:t>/%</w:t>
            </w:r>
          </w:p>
        </w:tc>
        <w:tc>
          <w:tcPr>
            <w:tcW w:w="1827" w:type="dxa"/>
            <w:tcBorders>
              <w:top w:val="single" w:sz="8" w:space="0" w:color="auto"/>
              <w:bottom w:val="single" w:sz="8" w:space="0" w:color="auto"/>
            </w:tcBorders>
            <w:vAlign w:val="center"/>
          </w:tcPr>
          <w:p w14:paraId="7F38E169" w14:textId="77777777" w:rsidR="00B66664" w:rsidRDefault="00264D9A">
            <w:pPr>
              <w:spacing w:line="360" w:lineRule="auto"/>
              <w:ind w:firstLineChars="0" w:firstLine="0"/>
              <w:jc w:val="center"/>
              <w:rPr>
                <w:kern w:val="0"/>
                <w:sz w:val="24"/>
              </w:rPr>
            </w:pPr>
            <w:r>
              <w:rPr>
                <w:kern w:val="0"/>
                <w:sz w:val="24"/>
              </w:rPr>
              <w:t>RSD</w:t>
            </w:r>
            <w:r>
              <w:rPr>
                <w:rFonts w:hAnsiTheme="minorEastAsia"/>
                <w:kern w:val="0"/>
                <w:sz w:val="24"/>
              </w:rPr>
              <w:t>（</w:t>
            </w:r>
            <w:r>
              <w:rPr>
                <w:kern w:val="0"/>
                <w:sz w:val="24"/>
              </w:rPr>
              <w:t>%</w:t>
            </w:r>
            <w:r>
              <w:rPr>
                <w:rFonts w:hAnsiTheme="minorEastAsia"/>
                <w:kern w:val="0"/>
                <w:sz w:val="24"/>
              </w:rPr>
              <w:t>，</w:t>
            </w:r>
            <w:r>
              <w:rPr>
                <w:kern w:val="0"/>
                <w:sz w:val="24"/>
              </w:rPr>
              <w:t>n=6</w:t>
            </w:r>
            <w:r>
              <w:rPr>
                <w:rFonts w:hAnsiTheme="minorEastAsia"/>
                <w:kern w:val="0"/>
                <w:sz w:val="24"/>
              </w:rPr>
              <w:t>）</w:t>
            </w:r>
          </w:p>
        </w:tc>
      </w:tr>
      <w:tr w:rsidR="00B66664" w14:paraId="2210DE1E" w14:textId="77777777">
        <w:trPr>
          <w:jc w:val="center"/>
        </w:trPr>
        <w:tc>
          <w:tcPr>
            <w:tcW w:w="913" w:type="dxa"/>
            <w:tcBorders>
              <w:top w:val="single" w:sz="8" w:space="0" w:color="auto"/>
            </w:tcBorders>
            <w:vAlign w:val="center"/>
          </w:tcPr>
          <w:p w14:paraId="77079638" w14:textId="77777777" w:rsidR="00B66664" w:rsidRDefault="00264D9A">
            <w:pPr>
              <w:spacing w:line="360" w:lineRule="auto"/>
              <w:ind w:firstLineChars="0" w:firstLine="0"/>
              <w:jc w:val="center"/>
              <w:rPr>
                <w:kern w:val="0"/>
                <w:sz w:val="24"/>
              </w:rPr>
            </w:pPr>
            <w:r>
              <w:rPr>
                <w:kern w:val="0"/>
                <w:sz w:val="24"/>
              </w:rPr>
              <w:t>1</w:t>
            </w:r>
          </w:p>
        </w:tc>
        <w:tc>
          <w:tcPr>
            <w:tcW w:w="1405" w:type="dxa"/>
            <w:tcBorders>
              <w:top w:val="single" w:sz="8" w:space="0" w:color="auto"/>
            </w:tcBorders>
            <w:vAlign w:val="center"/>
          </w:tcPr>
          <w:p w14:paraId="791AE012" w14:textId="77777777" w:rsidR="00B66664" w:rsidRDefault="00264D9A">
            <w:pPr>
              <w:ind w:firstLine="440"/>
              <w:jc w:val="center"/>
              <w:rPr>
                <w:rFonts w:ascii="宋体" w:hAnsi="宋体" w:cs="宋体"/>
                <w:color w:val="000000"/>
                <w:sz w:val="22"/>
                <w:szCs w:val="22"/>
              </w:rPr>
            </w:pPr>
            <w:r>
              <w:rPr>
                <w:rFonts w:hint="eastAsia"/>
                <w:color w:val="000000"/>
                <w:sz w:val="22"/>
                <w:szCs w:val="22"/>
              </w:rPr>
              <w:t>0.1457</w:t>
            </w:r>
          </w:p>
        </w:tc>
        <w:tc>
          <w:tcPr>
            <w:tcW w:w="1989" w:type="dxa"/>
            <w:tcBorders>
              <w:top w:val="single" w:sz="8" w:space="0" w:color="auto"/>
            </w:tcBorders>
            <w:vAlign w:val="center"/>
          </w:tcPr>
          <w:p w14:paraId="17130AF4" w14:textId="77777777" w:rsidR="00B66664" w:rsidRDefault="00264D9A">
            <w:pPr>
              <w:ind w:firstLine="440"/>
              <w:jc w:val="center"/>
              <w:rPr>
                <w:rFonts w:ascii="宋体" w:hAnsi="宋体" w:cs="宋体"/>
                <w:color w:val="000000"/>
                <w:sz w:val="22"/>
                <w:szCs w:val="22"/>
              </w:rPr>
            </w:pPr>
            <w:r>
              <w:rPr>
                <w:rFonts w:hint="eastAsia"/>
                <w:color w:val="000000"/>
                <w:sz w:val="22"/>
                <w:szCs w:val="22"/>
              </w:rPr>
              <w:t>24.307</w:t>
            </w:r>
          </w:p>
        </w:tc>
        <w:tc>
          <w:tcPr>
            <w:tcW w:w="1813" w:type="dxa"/>
            <w:tcBorders>
              <w:top w:val="single" w:sz="8" w:space="0" w:color="auto"/>
            </w:tcBorders>
            <w:vAlign w:val="center"/>
          </w:tcPr>
          <w:p w14:paraId="5097E238" w14:textId="77777777" w:rsidR="00B66664" w:rsidRDefault="00264D9A">
            <w:pPr>
              <w:ind w:firstLine="440"/>
              <w:jc w:val="center"/>
              <w:rPr>
                <w:rFonts w:ascii="宋体" w:hAnsi="宋体" w:cs="宋体"/>
                <w:color w:val="000000"/>
                <w:sz w:val="22"/>
                <w:szCs w:val="22"/>
              </w:rPr>
            </w:pPr>
            <w:r>
              <w:rPr>
                <w:rFonts w:hint="eastAsia"/>
                <w:color w:val="000000"/>
                <w:sz w:val="22"/>
                <w:szCs w:val="22"/>
              </w:rPr>
              <w:t>0.167</w:t>
            </w:r>
          </w:p>
        </w:tc>
        <w:tc>
          <w:tcPr>
            <w:tcW w:w="1827" w:type="dxa"/>
            <w:vMerge w:val="restart"/>
            <w:tcBorders>
              <w:top w:val="single" w:sz="8" w:space="0" w:color="auto"/>
            </w:tcBorders>
            <w:vAlign w:val="center"/>
          </w:tcPr>
          <w:p w14:paraId="6DCE654B" w14:textId="77777777" w:rsidR="00B66664" w:rsidRDefault="00264D9A">
            <w:pPr>
              <w:spacing w:line="360" w:lineRule="auto"/>
              <w:ind w:firstLineChars="0" w:firstLine="0"/>
              <w:jc w:val="center"/>
              <w:rPr>
                <w:color w:val="000000"/>
                <w:sz w:val="24"/>
              </w:rPr>
            </w:pPr>
            <w:r>
              <w:rPr>
                <w:rFonts w:hint="eastAsia"/>
                <w:color w:val="000000"/>
                <w:sz w:val="24"/>
              </w:rPr>
              <w:t>4.84</w:t>
            </w:r>
          </w:p>
        </w:tc>
      </w:tr>
      <w:tr w:rsidR="00B66664" w14:paraId="3FB162C9" w14:textId="77777777">
        <w:trPr>
          <w:jc w:val="center"/>
        </w:trPr>
        <w:tc>
          <w:tcPr>
            <w:tcW w:w="913" w:type="dxa"/>
            <w:vAlign w:val="center"/>
          </w:tcPr>
          <w:p w14:paraId="7C25DFB7" w14:textId="77777777" w:rsidR="00B66664" w:rsidRDefault="00264D9A">
            <w:pPr>
              <w:spacing w:line="360" w:lineRule="auto"/>
              <w:ind w:firstLineChars="0" w:firstLine="0"/>
              <w:jc w:val="center"/>
              <w:rPr>
                <w:kern w:val="0"/>
                <w:sz w:val="24"/>
              </w:rPr>
            </w:pPr>
            <w:r>
              <w:rPr>
                <w:kern w:val="0"/>
                <w:sz w:val="24"/>
              </w:rPr>
              <w:t>2</w:t>
            </w:r>
          </w:p>
        </w:tc>
        <w:tc>
          <w:tcPr>
            <w:tcW w:w="1405" w:type="dxa"/>
            <w:vAlign w:val="center"/>
          </w:tcPr>
          <w:p w14:paraId="54045FDF" w14:textId="77777777" w:rsidR="00B66664" w:rsidRDefault="00264D9A">
            <w:pPr>
              <w:ind w:firstLine="440"/>
              <w:jc w:val="center"/>
              <w:rPr>
                <w:rFonts w:ascii="宋体" w:hAnsi="宋体" w:cs="宋体"/>
                <w:color w:val="000000"/>
                <w:sz w:val="22"/>
                <w:szCs w:val="22"/>
              </w:rPr>
            </w:pPr>
            <w:r>
              <w:rPr>
                <w:rFonts w:hint="eastAsia"/>
                <w:color w:val="000000"/>
                <w:sz w:val="22"/>
                <w:szCs w:val="22"/>
              </w:rPr>
              <w:t>0.1579</w:t>
            </w:r>
          </w:p>
        </w:tc>
        <w:tc>
          <w:tcPr>
            <w:tcW w:w="1989" w:type="dxa"/>
            <w:vAlign w:val="center"/>
          </w:tcPr>
          <w:p w14:paraId="46DED989" w14:textId="77777777" w:rsidR="00B66664" w:rsidRDefault="00264D9A">
            <w:pPr>
              <w:ind w:firstLine="440"/>
              <w:jc w:val="center"/>
              <w:rPr>
                <w:rFonts w:ascii="宋体" w:hAnsi="宋体" w:cs="宋体"/>
                <w:color w:val="000000"/>
                <w:sz w:val="22"/>
                <w:szCs w:val="22"/>
              </w:rPr>
            </w:pPr>
            <w:r>
              <w:rPr>
                <w:rFonts w:hint="eastAsia"/>
                <w:color w:val="000000"/>
                <w:sz w:val="22"/>
                <w:szCs w:val="22"/>
              </w:rPr>
              <w:t>28.518</w:t>
            </w:r>
          </w:p>
        </w:tc>
        <w:tc>
          <w:tcPr>
            <w:tcW w:w="1813" w:type="dxa"/>
            <w:vAlign w:val="center"/>
          </w:tcPr>
          <w:p w14:paraId="6E4C2958" w14:textId="77777777" w:rsidR="00B66664" w:rsidRDefault="00264D9A">
            <w:pPr>
              <w:ind w:firstLine="440"/>
              <w:jc w:val="center"/>
              <w:rPr>
                <w:rFonts w:ascii="宋体" w:hAnsi="宋体" w:cs="宋体"/>
                <w:color w:val="000000"/>
                <w:sz w:val="22"/>
                <w:szCs w:val="22"/>
              </w:rPr>
            </w:pPr>
            <w:r>
              <w:rPr>
                <w:rFonts w:hint="eastAsia"/>
                <w:color w:val="000000"/>
                <w:sz w:val="22"/>
                <w:szCs w:val="22"/>
              </w:rPr>
              <w:t>0.181</w:t>
            </w:r>
          </w:p>
        </w:tc>
        <w:tc>
          <w:tcPr>
            <w:tcW w:w="1827" w:type="dxa"/>
            <w:vMerge/>
            <w:vAlign w:val="center"/>
          </w:tcPr>
          <w:p w14:paraId="7ADB073B" w14:textId="77777777" w:rsidR="00B66664" w:rsidRDefault="00B66664">
            <w:pPr>
              <w:spacing w:line="360" w:lineRule="auto"/>
              <w:ind w:firstLineChars="0" w:firstLine="0"/>
              <w:jc w:val="center"/>
              <w:rPr>
                <w:kern w:val="0"/>
                <w:sz w:val="24"/>
              </w:rPr>
            </w:pPr>
          </w:p>
        </w:tc>
      </w:tr>
      <w:tr w:rsidR="00B66664" w14:paraId="53CF476B" w14:textId="77777777">
        <w:trPr>
          <w:jc w:val="center"/>
        </w:trPr>
        <w:tc>
          <w:tcPr>
            <w:tcW w:w="913" w:type="dxa"/>
            <w:vAlign w:val="center"/>
          </w:tcPr>
          <w:p w14:paraId="132798B5" w14:textId="77777777" w:rsidR="00B66664" w:rsidRDefault="00264D9A">
            <w:pPr>
              <w:spacing w:line="360" w:lineRule="auto"/>
              <w:ind w:firstLineChars="0" w:firstLine="0"/>
              <w:jc w:val="center"/>
              <w:rPr>
                <w:kern w:val="0"/>
                <w:sz w:val="24"/>
              </w:rPr>
            </w:pPr>
            <w:r>
              <w:rPr>
                <w:kern w:val="0"/>
                <w:sz w:val="24"/>
              </w:rPr>
              <w:t>3</w:t>
            </w:r>
          </w:p>
        </w:tc>
        <w:tc>
          <w:tcPr>
            <w:tcW w:w="1405" w:type="dxa"/>
            <w:vAlign w:val="center"/>
          </w:tcPr>
          <w:p w14:paraId="711A0981" w14:textId="77777777" w:rsidR="00B66664" w:rsidRDefault="00264D9A">
            <w:pPr>
              <w:ind w:firstLine="440"/>
              <w:jc w:val="center"/>
              <w:rPr>
                <w:rFonts w:ascii="宋体" w:hAnsi="宋体" w:cs="宋体"/>
                <w:sz w:val="22"/>
                <w:szCs w:val="22"/>
              </w:rPr>
            </w:pPr>
            <w:r>
              <w:rPr>
                <w:rFonts w:hint="eastAsia"/>
                <w:sz w:val="22"/>
                <w:szCs w:val="22"/>
              </w:rPr>
              <w:t>0.1401</w:t>
            </w:r>
          </w:p>
        </w:tc>
        <w:tc>
          <w:tcPr>
            <w:tcW w:w="1989" w:type="dxa"/>
            <w:vAlign w:val="center"/>
          </w:tcPr>
          <w:p w14:paraId="0EEB8B15" w14:textId="77777777" w:rsidR="00B66664" w:rsidRDefault="00264D9A">
            <w:pPr>
              <w:ind w:firstLine="440"/>
              <w:jc w:val="center"/>
              <w:rPr>
                <w:rFonts w:ascii="宋体" w:hAnsi="宋体" w:cs="宋体"/>
                <w:sz w:val="22"/>
                <w:szCs w:val="22"/>
              </w:rPr>
            </w:pPr>
            <w:r>
              <w:rPr>
                <w:rFonts w:hint="eastAsia"/>
                <w:sz w:val="22"/>
                <w:szCs w:val="22"/>
              </w:rPr>
              <w:t>24.021</w:t>
            </w:r>
          </w:p>
        </w:tc>
        <w:tc>
          <w:tcPr>
            <w:tcW w:w="1813" w:type="dxa"/>
            <w:vAlign w:val="center"/>
          </w:tcPr>
          <w:p w14:paraId="7D4369C9" w14:textId="77777777" w:rsidR="00B66664" w:rsidRDefault="00264D9A">
            <w:pPr>
              <w:ind w:firstLine="440"/>
              <w:jc w:val="center"/>
              <w:rPr>
                <w:rFonts w:ascii="宋体" w:hAnsi="宋体" w:cs="宋体"/>
                <w:sz w:val="22"/>
                <w:szCs w:val="22"/>
              </w:rPr>
            </w:pPr>
            <w:r>
              <w:rPr>
                <w:rFonts w:hint="eastAsia"/>
                <w:sz w:val="22"/>
                <w:szCs w:val="22"/>
              </w:rPr>
              <w:t>0.171</w:t>
            </w:r>
          </w:p>
        </w:tc>
        <w:tc>
          <w:tcPr>
            <w:tcW w:w="1827" w:type="dxa"/>
            <w:vMerge/>
            <w:vAlign w:val="center"/>
          </w:tcPr>
          <w:p w14:paraId="1E3E36F6" w14:textId="77777777" w:rsidR="00B66664" w:rsidRDefault="00B66664">
            <w:pPr>
              <w:spacing w:line="360" w:lineRule="auto"/>
              <w:ind w:firstLineChars="0" w:firstLine="0"/>
              <w:jc w:val="center"/>
              <w:rPr>
                <w:kern w:val="0"/>
                <w:sz w:val="24"/>
              </w:rPr>
            </w:pPr>
          </w:p>
        </w:tc>
      </w:tr>
      <w:tr w:rsidR="00B66664" w14:paraId="59EC4E26" w14:textId="77777777">
        <w:trPr>
          <w:jc w:val="center"/>
        </w:trPr>
        <w:tc>
          <w:tcPr>
            <w:tcW w:w="913" w:type="dxa"/>
            <w:vAlign w:val="center"/>
          </w:tcPr>
          <w:p w14:paraId="51F3BBB9" w14:textId="77777777" w:rsidR="00B66664" w:rsidRDefault="00264D9A">
            <w:pPr>
              <w:spacing w:line="360" w:lineRule="auto"/>
              <w:ind w:firstLineChars="0" w:firstLine="0"/>
              <w:jc w:val="center"/>
              <w:rPr>
                <w:kern w:val="0"/>
                <w:sz w:val="24"/>
              </w:rPr>
            </w:pPr>
            <w:r>
              <w:rPr>
                <w:kern w:val="0"/>
                <w:sz w:val="24"/>
              </w:rPr>
              <w:t>4</w:t>
            </w:r>
          </w:p>
        </w:tc>
        <w:tc>
          <w:tcPr>
            <w:tcW w:w="1405" w:type="dxa"/>
            <w:vAlign w:val="center"/>
          </w:tcPr>
          <w:p w14:paraId="0E75789C" w14:textId="77777777" w:rsidR="00B66664" w:rsidRDefault="00264D9A">
            <w:pPr>
              <w:ind w:firstLine="440"/>
              <w:jc w:val="center"/>
              <w:rPr>
                <w:rFonts w:ascii="宋体" w:hAnsi="宋体" w:cs="宋体"/>
                <w:sz w:val="22"/>
                <w:szCs w:val="22"/>
              </w:rPr>
            </w:pPr>
            <w:r>
              <w:rPr>
                <w:rFonts w:hint="eastAsia"/>
                <w:sz w:val="22"/>
                <w:szCs w:val="22"/>
              </w:rPr>
              <w:t>0.1463</w:t>
            </w:r>
          </w:p>
        </w:tc>
        <w:tc>
          <w:tcPr>
            <w:tcW w:w="1989" w:type="dxa"/>
            <w:vAlign w:val="center"/>
          </w:tcPr>
          <w:p w14:paraId="4BA0A853" w14:textId="77777777" w:rsidR="00B66664" w:rsidRDefault="00264D9A">
            <w:pPr>
              <w:ind w:firstLine="440"/>
              <w:jc w:val="center"/>
              <w:rPr>
                <w:rFonts w:ascii="宋体" w:hAnsi="宋体" w:cs="宋体"/>
                <w:sz w:val="22"/>
                <w:szCs w:val="22"/>
              </w:rPr>
            </w:pPr>
            <w:r>
              <w:rPr>
                <w:rFonts w:hint="eastAsia"/>
                <w:sz w:val="22"/>
                <w:szCs w:val="22"/>
              </w:rPr>
              <w:t>23.473</w:t>
            </w:r>
          </w:p>
        </w:tc>
        <w:tc>
          <w:tcPr>
            <w:tcW w:w="1813" w:type="dxa"/>
            <w:vAlign w:val="center"/>
          </w:tcPr>
          <w:p w14:paraId="6D666612" w14:textId="77777777" w:rsidR="00B66664" w:rsidRDefault="00264D9A">
            <w:pPr>
              <w:ind w:firstLine="440"/>
              <w:jc w:val="center"/>
              <w:rPr>
                <w:rFonts w:ascii="宋体" w:hAnsi="宋体" w:cs="宋体"/>
                <w:sz w:val="22"/>
                <w:szCs w:val="22"/>
              </w:rPr>
            </w:pPr>
            <w:r>
              <w:rPr>
                <w:rFonts w:hint="eastAsia"/>
                <w:sz w:val="22"/>
                <w:szCs w:val="22"/>
              </w:rPr>
              <w:t>0.160</w:t>
            </w:r>
          </w:p>
        </w:tc>
        <w:tc>
          <w:tcPr>
            <w:tcW w:w="1827" w:type="dxa"/>
            <w:vMerge/>
            <w:vAlign w:val="center"/>
          </w:tcPr>
          <w:p w14:paraId="0C66AC4A" w14:textId="77777777" w:rsidR="00B66664" w:rsidRDefault="00B66664">
            <w:pPr>
              <w:spacing w:line="360" w:lineRule="auto"/>
              <w:ind w:firstLineChars="0" w:firstLine="0"/>
              <w:jc w:val="center"/>
              <w:rPr>
                <w:kern w:val="0"/>
                <w:sz w:val="24"/>
              </w:rPr>
            </w:pPr>
          </w:p>
        </w:tc>
      </w:tr>
      <w:tr w:rsidR="00B66664" w14:paraId="4B4AB74B" w14:textId="77777777">
        <w:trPr>
          <w:jc w:val="center"/>
        </w:trPr>
        <w:tc>
          <w:tcPr>
            <w:tcW w:w="913" w:type="dxa"/>
            <w:vAlign w:val="center"/>
          </w:tcPr>
          <w:p w14:paraId="597EFBA5" w14:textId="77777777" w:rsidR="00B66664" w:rsidRDefault="00264D9A">
            <w:pPr>
              <w:spacing w:line="360" w:lineRule="auto"/>
              <w:ind w:firstLineChars="0" w:firstLine="0"/>
              <w:jc w:val="center"/>
              <w:rPr>
                <w:kern w:val="0"/>
                <w:sz w:val="24"/>
              </w:rPr>
            </w:pPr>
            <w:r>
              <w:rPr>
                <w:kern w:val="0"/>
                <w:sz w:val="24"/>
              </w:rPr>
              <w:t>5</w:t>
            </w:r>
          </w:p>
        </w:tc>
        <w:tc>
          <w:tcPr>
            <w:tcW w:w="1405" w:type="dxa"/>
            <w:vAlign w:val="center"/>
          </w:tcPr>
          <w:p w14:paraId="7788BBBC" w14:textId="77777777" w:rsidR="00B66664" w:rsidRDefault="00264D9A">
            <w:pPr>
              <w:ind w:firstLine="440"/>
              <w:jc w:val="center"/>
              <w:rPr>
                <w:rFonts w:ascii="宋体" w:hAnsi="宋体" w:cs="宋体"/>
                <w:sz w:val="22"/>
                <w:szCs w:val="22"/>
              </w:rPr>
            </w:pPr>
            <w:r>
              <w:rPr>
                <w:rFonts w:hint="eastAsia"/>
                <w:sz w:val="22"/>
                <w:szCs w:val="22"/>
              </w:rPr>
              <w:t>0.1612</w:t>
            </w:r>
          </w:p>
        </w:tc>
        <w:tc>
          <w:tcPr>
            <w:tcW w:w="1989" w:type="dxa"/>
            <w:vAlign w:val="center"/>
          </w:tcPr>
          <w:p w14:paraId="5397107C" w14:textId="77777777" w:rsidR="00B66664" w:rsidRDefault="00264D9A">
            <w:pPr>
              <w:ind w:firstLine="440"/>
              <w:jc w:val="center"/>
              <w:rPr>
                <w:rFonts w:ascii="宋体" w:hAnsi="宋体" w:cs="宋体"/>
                <w:sz w:val="22"/>
                <w:szCs w:val="22"/>
              </w:rPr>
            </w:pPr>
            <w:r>
              <w:rPr>
                <w:rFonts w:hint="eastAsia"/>
                <w:sz w:val="22"/>
                <w:szCs w:val="22"/>
              </w:rPr>
              <w:t>29.098</w:t>
            </w:r>
          </w:p>
        </w:tc>
        <w:tc>
          <w:tcPr>
            <w:tcW w:w="1813" w:type="dxa"/>
            <w:vAlign w:val="center"/>
          </w:tcPr>
          <w:p w14:paraId="6560422E" w14:textId="77777777" w:rsidR="00B66664" w:rsidRDefault="00264D9A">
            <w:pPr>
              <w:ind w:firstLine="440"/>
              <w:jc w:val="center"/>
              <w:rPr>
                <w:rFonts w:ascii="宋体" w:hAnsi="宋体" w:cs="宋体"/>
                <w:sz w:val="22"/>
                <w:szCs w:val="22"/>
              </w:rPr>
            </w:pPr>
            <w:r>
              <w:rPr>
                <w:rFonts w:hint="eastAsia"/>
                <w:sz w:val="22"/>
                <w:szCs w:val="22"/>
              </w:rPr>
              <w:t>0.181</w:t>
            </w:r>
          </w:p>
        </w:tc>
        <w:tc>
          <w:tcPr>
            <w:tcW w:w="1827" w:type="dxa"/>
            <w:vMerge/>
            <w:vAlign w:val="center"/>
          </w:tcPr>
          <w:p w14:paraId="38D7D672" w14:textId="77777777" w:rsidR="00B66664" w:rsidRDefault="00B66664">
            <w:pPr>
              <w:spacing w:line="360" w:lineRule="auto"/>
              <w:ind w:firstLineChars="0" w:firstLine="0"/>
              <w:jc w:val="center"/>
              <w:rPr>
                <w:kern w:val="0"/>
                <w:sz w:val="24"/>
              </w:rPr>
            </w:pPr>
          </w:p>
        </w:tc>
      </w:tr>
      <w:tr w:rsidR="00B66664" w14:paraId="6E84584A" w14:textId="77777777">
        <w:trPr>
          <w:jc w:val="center"/>
        </w:trPr>
        <w:tc>
          <w:tcPr>
            <w:tcW w:w="913" w:type="dxa"/>
            <w:tcBorders>
              <w:bottom w:val="single" w:sz="8" w:space="0" w:color="auto"/>
            </w:tcBorders>
            <w:vAlign w:val="center"/>
          </w:tcPr>
          <w:p w14:paraId="0C6696F5" w14:textId="77777777" w:rsidR="00B66664" w:rsidRDefault="00264D9A">
            <w:pPr>
              <w:spacing w:line="360" w:lineRule="auto"/>
              <w:ind w:firstLineChars="0" w:firstLine="0"/>
              <w:jc w:val="center"/>
              <w:rPr>
                <w:kern w:val="0"/>
                <w:sz w:val="24"/>
              </w:rPr>
            </w:pPr>
            <w:r>
              <w:rPr>
                <w:kern w:val="0"/>
                <w:sz w:val="24"/>
              </w:rPr>
              <w:t>6</w:t>
            </w:r>
          </w:p>
        </w:tc>
        <w:tc>
          <w:tcPr>
            <w:tcW w:w="1405" w:type="dxa"/>
            <w:tcBorders>
              <w:bottom w:val="single" w:sz="8" w:space="0" w:color="auto"/>
            </w:tcBorders>
            <w:vAlign w:val="center"/>
          </w:tcPr>
          <w:p w14:paraId="56B9FF42" w14:textId="77777777" w:rsidR="00B66664" w:rsidRDefault="00264D9A">
            <w:pPr>
              <w:ind w:firstLine="440"/>
              <w:jc w:val="center"/>
              <w:rPr>
                <w:rFonts w:ascii="宋体" w:hAnsi="宋体" w:cs="宋体"/>
                <w:sz w:val="22"/>
                <w:szCs w:val="22"/>
              </w:rPr>
            </w:pPr>
            <w:r>
              <w:rPr>
                <w:rFonts w:hint="eastAsia"/>
                <w:sz w:val="22"/>
                <w:szCs w:val="22"/>
              </w:rPr>
              <w:t>0.1444</w:t>
            </w:r>
          </w:p>
        </w:tc>
        <w:tc>
          <w:tcPr>
            <w:tcW w:w="1989" w:type="dxa"/>
            <w:tcBorders>
              <w:bottom w:val="single" w:sz="8" w:space="0" w:color="auto"/>
            </w:tcBorders>
            <w:vAlign w:val="center"/>
          </w:tcPr>
          <w:p w14:paraId="3882610B" w14:textId="77777777" w:rsidR="00B66664" w:rsidRDefault="00264D9A">
            <w:pPr>
              <w:ind w:firstLine="440"/>
              <w:jc w:val="center"/>
              <w:rPr>
                <w:rFonts w:ascii="宋体" w:hAnsi="宋体" w:cs="宋体"/>
                <w:sz w:val="22"/>
                <w:szCs w:val="22"/>
              </w:rPr>
            </w:pPr>
            <w:r>
              <w:rPr>
                <w:rFonts w:hint="eastAsia"/>
                <w:sz w:val="22"/>
                <w:szCs w:val="22"/>
              </w:rPr>
              <w:t>23.899</w:t>
            </w:r>
          </w:p>
        </w:tc>
        <w:tc>
          <w:tcPr>
            <w:tcW w:w="1813" w:type="dxa"/>
            <w:tcBorders>
              <w:bottom w:val="single" w:sz="8" w:space="0" w:color="auto"/>
            </w:tcBorders>
            <w:vAlign w:val="center"/>
          </w:tcPr>
          <w:p w14:paraId="7CD1A335" w14:textId="77777777" w:rsidR="00B66664" w:rsidRDefault="00264D9A">
            <w:pPr>
              <w:ind w:firstLine="440"/>
              <w:jc w:val="center"/>
              <w:rPr>
                <w:rFonts w:ascii="宋体" w:hAnsi="宋体" w:cs="宋体"/>
                <w:sz w:val="22"/>
                <w:szCs w:val="22"/>
              </w:rPr>
            </w:pPr>
            <w:r>
              <w:rPr>
                <w:rFonts w:hint="eastAsia"/>
                <w:sz w:val="22"/>
                <w:szCs w:val="22"/>
              </w:rPr>
              <w:t>0.166</w:t>
            </w:r>
          </w:p>
        </w:tc>
        <w:tc>
          <w:tcPr>
            <w:tcW w:w="1827" w:type="dxa"/>
            <w:vMerge/>
            <w:tcBorders>
              <w:bottom w:val="single" w:sz="8" w:space="0" w:color="auto"/>
            </w:tcBorders>
            <w:vAlign w:val="center"/>
          </w:tcPr>
          <w:p w14:paraId="116F1BA6" w14:textId="77777777" w:rsidR="00B66664" w:rsidRDefault="00B66664">
            <w:pPr>
              <w:spacing w:line="360" w:lineRule="auto"/>
              <w:ind w:firstLineChars="0" w:firstLine="0"/>
              <w:jc w:val="center"/>
              <w:rPr>
                <w:kern w:val="0"/>
                <w:sz w:val="24"/>
              </w:rPr>
            </w:pPr>
          </w:p>
        </w:tc>
      </w:tr>
    </w:tbl>
    <w:p w14:paraId="663BF66F" w14:textId="77777777" w:rsidR="00B66664" w:rsidRDefault="00264D9A">
      <w:pPr>
        <w:pStyle w:val="a9"/>
      </w:pPr>
      <w:r>
        <w:rPr>
          <w:rFonts w:hint="eastAsia"/>
        </w:rPr>
        <w:t xml:space="preserve">5.6.2 </w:t>
      </w:r>
      <w:r>
        <w:rPr>
          <w:rFonts w:hint="eastAsia"/>
        </w:rPr>
        <w:t>多效唑重复性</w:t>
      </w:r>
    </w:p>
    <w:p w14:paraId="2569DB5D" w14:textId="77777777" w:rsidR="00B66664" w:rsidRDefault="00264D9A">
      <w:pPr>
        <w:ind w:firstLine="560"/>
      </w:pPr>
      <w:r>
        <w:rPr>
          <w:rFonts w:hint="eastAsia"/>
        </w:rPr>
        <w:t>称取同一样品</w:t>
      </w:r>
      <w:r>
        <w:rPr>
          <w:rFonts w:hint="eastAsia"/>
        </w:rPr>
        <w:t>6</w:t>
      </w:r>
      <w:r>
        <w:rPr>
          <w:rFonts w:hint="eastAsia"/>
        </w:rPr>
        <w:t>份，按该方法进行样品前处理，采用同样的色谱条件，对</w:t>
      </w:r>
      <w:r>
        <w:rPr>
          <w:rFonts w:hint="eastAsia"/>
        </w:rPr>
        <w:t>6</w:t>
      </w:r>
      <w:r>
        <w:rPr>
          <w:rFonts w:hint="eastAsia"/>
        </w:rPr>
        <w:t>份样品连续进样，检测方法的重复性，试验结果见表</w:t>
      </w:r>
      <w:r>
        <w:rPr>
          <w:rFonts w:hint="eastAsia"/>
        </w:rPr>
        <w:t>6</w:t>
      </w:r>
      <w:r>
        <w:rPr>
          <w:rFonts w:hint="eastAsia"/>
        </w:rPr>
        <w:t>。从表中可见，</w:t>
      </w:r>
      <w:r>
        <w:rPr>
          <w:rFonts w:hint="eastAsia"/>
        </w:rPr>
        <w:lastRenderedPageBreak/>
        <w:t>样品中多效唑平均含量为</w:t>
      </w:r>
      <w:r>
        <w:rPr>
          <w:rFonts w:hint="eastAsia"/>
        </w:rPr>
        <w:t>4.794%</w:t>
      </w:r>
      <w:r>
        <w:rPr>
          <w:rFonts w:hint="eastAsia"/>
        </w:rPr>
        <w:t>，</w:t>
      </w:r>
      <w:r>
        <w:rPr>
          <w:rFonts w:hint="eastAsia"/>
        </w:rPr>
        <w:t>RSD</w:t>
      </w:r>
      <w:r>
        <w:rPr>
          <w:rFonts w:hint="eastAsia"/>
        </w:rPr>
        <w:t>值为</w:t>
      </w:r>
      <w:r>
        <w:rPr>
          <w:rFonts w:hint="eastAsia"/>
        </w:rPr>
        <w:t>4.44%</w:t>
      </w:r>
      <w:r>
        <w:rPr>
          <w:rFonts w:hint="eastAsia"/>
        </w:rPr>
        <w:t>，符合一般色谱方法验证中对方法重复性</w:t>
      </w:r>
      <w:r>
        <w:rPr>
          <w:rFonts w:hint="eastAsia"/>
        </w:rPr>
        <w:t>RSD</w:t>
      </w:r>
      <w:r>
        <w:rPr>
          <w:rFonts w:hint="eastAsia"/>
        </w:rPr>
        <w:t>＜</w:t>
      </w:r>
      <w:r>
        <w:rPr>
          <w:rFonts w:hint="eastAsia"/>
        </w:rPr>
        <w:t>10%</w:t>
      </w:r>
      <w:r>
        <w:rPr>
          <w:rFonts w:hint="eastAsia"/>
        </w:rPr>
        <w:t>的要求。</w:t>
      </w:r>
    </w:p>
    <w:p w14:paraId="69114CDC" w14:textId="77777777" w:rsidR="00B66664" w:rsidRDefault="00264D9A">
      <w:pPr>
        <w:pStyle w:val="a3"/>
        <w:spacing w:after="156"/>
        <w:ind w:firstLine="480"/>
      </w:pPr>
      <w:r>
        <w:t>表</w:t>
      </w:r>
      <w:r>
        <w:rPr>
          <w:rFonts w:hint="eastAsia"/>
        </w:rPr>
        <w:t>6</w:t>
      </w:r>
      <w:r>
        <w:rPr>
          <w:rFonts w:hint="eastAsia"/>
        </w:rPr>
        <w:t>多效唑</w:t>
      </w:r>
      <w:r>
        <w:t>气相色谱检测方法</w:t>
      </w:r>
      <w:r>
        <w:rPr>
          <w:rFonts w:hint="eastAsia"/>
        </w:rPr>
        <w:t>重复性</w:t>
      </w:r>
      <w:r>
        <w:t>试验</w:t>
      </w:r>
    </w:p>
    <w:tbl>
      <w:tblPr>
        <w:tblW w:w="7947" w:type="dxa"/>
        <w:jc w:val="center"/>
        <w:tblBorders>
          <w:top w:val="single" w:sz="8" w:space="0" w:color="auto"/>
          <w:bottom w:val="single" w:sz="8" w:space="0" w:color="auto"/>
        </w:tblBorders>
        <w:tblLayout w:type="fixed"/>
        <w:tblLook w:val="04A0" w:firstRow="1" w:lastRow="0" w:firstColumn="1" w:lastColumn="0" w:noHBand="0" w:noVBand="1"/>
      </w:tblPr>
      <w:tblGrid>
        <w:gridCol w:w="913"/>
        <w:gridCol w:w="1405"/>
        <w:gridCol w:w="1989"/>
        <w:gridCol w:w="1813"/>
        <w:gridCol w:w="1827"/>
      </w:tblGrid>
      <w:tr w:rsidR="00B66664" w14:paraId="15F2975D" w14:textId="77777777">
        <w:trPr>
          <w:trHeight w:val="443"/>
          <w:jc w:val="center"/>
        </w:trPr>
        <w:tc>
          <w:tcPr>
            <w:tcW w:w="913" w:type="dxa"/>
            <w:tcBorders>
              <w:top w:val="single" w:sz="8" w:space="0" w:color="auto"/>
              <w:bottom w:val="single" w:sz="8" w:space="0" w:color="auto"/>
            </w:tcBorders>
            <w:vAlign w:val="center"/>
          </w:tcPr>
          <w:p w14:paraId="57BE781A" w14:textId="77777777" w:rsidR="00B66664" w:rsidRDefault="00264D9A">
            <w:pPr>
              <w:spacing w:line="360" w:lineRule="auto"/>
              <w:ind w:firstLineChars="0" w:firstLine="0"/>
              <w:jc w:val="center"/>
              <w:rPr>
                <w:kern w:val="0"/>
                <w:sz w:val="24"/>
              </w:rPr>
            </w:pPr>
            <w:r>
              <w:rPr>
                <w:rFonts w:hint="eastAsia"/>
                <w:kern w:val="0"/>
                <w:sz w:val="24"/>
              </w:rPr>
              <w:t>序号</w:t>
            </w:r>
          </w:p>
        </w:tc>
        <w:tc>
          <w:tcPr>
            <w:tcW w:w="1405" w:type="dxa"/>
            <w:tcBorders>
              <w:top w:val="single" w:sz="8" w:space="0" w:color="auto"/>
              <w:bottom w:val="single" w:sz="8" w:space="0" w:color="auto"/>
            </w:tcBorders>
            <w:vAlign w:val="center"/>
          </w:tcPr>
          <w:p w14:paraId="411251AA" w14:textId="77777777" w:rsidR="00B66664" w:rsidRDefault="00264D9A">
            <w:pPr>
              <w:spacing w:line="360" w:lineRule="auto"/>
              <w:ind w:firstLineChars="0" w:firstLine="0"/>
              <w:jc w:val="center"/>
              <w:rPr>
                <w:kern w:val="0"/>
                <w:sz w:val="24"/>
              </w:rPr>
            </w:pPr>
            <w:r>
              <w:rPr>
                <w:rFonts w:hint="eastAsia"/>
                <w:kern w:val="0"/>
                <w:sz w:val="24"/>
              </w:rPr>
              <w:t>称样量</w:t>
            </w:r>
            <w:r>
              <w:rPr>
                <w:rFonts w:hint="eastAsia"/>
                <w:kern w:val="0"/>
                <w:sz w:val="24"/>
              </w:rPr>
              <w:t>/g</w:t>
            </w:r>
          </w:p>
        </w:tc>
        <w:tc>
          <w:tcPr>
            <w:tcW w:w="1989" w:type="dxa"/>
            <w:tcBorders>
              <w:top w:val="single" w:sz="8" w:space="0" w:color="auto"/>
              <w:bottom w:val="single" w:sz="8" w:space="0" w:color="auto"/>
            </w:tcBorders>
            <w:vAlign w:val="center"/>
          </w:tcPr>
          <w:p w14:paraId="76D3C6E3" w14:textId="77777777" w:rsidR="00B66664" w:rsidRDefault="00264D9A">
            <w:pPr>
              <w:spacing w:line="360" w:lineRule="auto"/>
              <w:ind w:firstLineChars="0" w:firstLine="0"/>
              <w:jc w:val="center"/>
              <w:rPr>
                <w:kern w:val="0"/>
                <w:sz w:val="24"/>
              </w:rPr>
            </w:pPr>
            <w:r>
              <w:rPr>
                <w:rFonts w:hint="eastAsia"/>
                <w:kern w:val="0"/>
                <w:sz w:val="24"/>
              </w:rPr>
              <w:t>样品浓度</w:t>
            </w:r>
            <w:r>
              <w:rPr>
                <w:kern w:val="0"/>
                <w:sz w:val="24"/>
              </w:rPr>
              <w:t>/</w:t>
            </w:r>
            <w:proofErr w:type="spellStart"/>
            <w:r>
              <w:rPr>
                <w:kern w:val="0"/>
                <w:sz w:val="24"/>
              </w:rPr>
              <w:t>μg</w:t>
            </w:r>
            <w:proofErr w:type="spellEnd"/>
            <w:r>
              <w:rPr>
                <w:kern w:val="0"/>
                <w:sz w:val="24"/>
              </w:rPr>
              <w:t>/mL</w:t>
            </w:r>
          </w:p>
        </w:tc>
        <w:tc>
          <w:tcPr>
            <w:tcW w:w="1813" w:type="dxa"/>
            <w:tcBorders>
              <w:top w:val="single" w:sz="8" w:space="0" w:color="auto"/>
              <w:bottom w:val="single" w:sz="8" w:space="0" w:color="auto"/>
            </w:tcBorders>
          </w:tcPr>
          <w:p w14:paraId="3581F464" w14:textId="77777777" w:rsidR="00B66664" w:rsidRDefault="00264D9A">
            <w:pPr>
              <w:spacing w:line="360" w:lineRule="auto"/>
              <w:ind w:firstLineChars="0" w:firstLine="0"/>
              <w:jc w:val="center"/>
              <w:rPr>
                <w:kern w:val="0"/>
                <w:sz w:val="24"/>
              </w:rPr>
            </w:pPr>
            <w:r>
              <w:rPr>
                <w:rFonts w:hint="eastAsia"/>
                <w:kern w:val="0"/>
                <w:sz w:val="24"/>
              </w:rPr>
              <w:t>样品含量</w:t>
            </w:r>
            <w:r>
              <w:rPr>
                <w:rFonts w:hint="eastAsia"/>
                <w:kern w:val="0"/>
                <w:sz w:val="24"/>
              </w:rPr>
              <w:t>/%</w:t>
            </w:r>
          </w:p>
        </w:tc>
        <w:tc>
          <w:tcPr>
            <w:tcW w:w="1827" w:type="dxa"/>
            <w:tcBorders>
              <w:top w:val="single" w:sz="8" w:space="0" w:color="auto"/>
              <w:bottom w:val="single" w:sz="8" w:space="0" w:color="auto"/>
            </w:tcBorders>
            <w:vAlign w:val="center"/>
          </w:tcPr>
          <w:p w14:paraId="558978F8" w14:textId="77777777" w:rsidR="00B66664" w:rsidRDefault="00264D9A">
            <w:pPr>
              <w:spacing w:line="360" w:lineRule="auto"/>
              <w:ind w:firstLineChars="0" w:firstLine="0"/>
              <w:jc w:val="center"/>
              <w:rPr>
                <w:kern w:val="0"/>
                <w:sz w:val="24"/>
              </w:rPr>
            </w:pPr>
            <w:r>
              <w:rPr>
                <w:kern w:val="0"/>
                <w:sz w:val="24"/>
              </w:rPr>
              <w:t>RSD</w:t>
            </w:r>
            <w:r>
              <w:rPr>
                <w:rFonts w:hAnsiTheme="minorEastAsia"/>
                <w:kern w:val="0"/>
                <w:sz w:val="24"/>
              </w:rPr>
              <w:t>（</w:t>
            </w:r>
            <w:r>
              <w:rPr>
                <w:kern w:val="0"/>
                <w:sz w:val="24"/>
              </w:rPr>
              <w:t>%</w:t>
            </w:r>
            <w:r>
              <w:rPr>
                <w:rFonts w:hAnsiTheme="minorEastAsia"/>
                <w:kern w:val="0"/>
                <w:sz w:val="24"/>
              </w:rPr>
              <w:t>，</w:t>
            </w:r>
            <w:r>
              <w:rPr>
                <w:kern w:val="0"/>
                <w:sz w:val="24"/>
              </w:rPr>
              <w:t>n=6</w:t>
            </w:r>
            <w:r>
              <w:rPr>
                <w:rFonts w:hAnsiTheme="minorEastAsia"/>
                <w:kern w:val="0"/>
                <w:sz w:val="24"/>
              </w:rPr>
              <w:t>）</w:t>
            </w:r>
          </w:p>
        </w:tc>
      </w:tr>
      <w:tr w:rsidR="00B66664" w14:paraId="126FA93E" w14:textId="77777777">
        <w:trPr>
          <w:jc w:val="center"/>
        </w:trPr>
        <w:tc>
          <w:tcPr>
            <w:tcW w:w="913" w:type="dxa"/>
            <w:tcBorders>
              <w:top w:val="single" w:sz="8" w:space="0" w:color="auto"/>
            </w:tcBorders>
            <w:vAlign w:val="center"/>
          </w:tcPr>
          <w:p w14:paraId="16A59963" w14:textId="77777777" w:rsidR="00B66664" w:rsidRDefault="00264D9A">
            <w:pPr>
              <w:spacing w:line="360" w:lineRule="auto"/>
              <w:ind w:firstLineChars="0" w:firstLine="0"/>
              <w:jc w:val="center"/>
              <w:rPr>
                <w:kern w:val="0"/>
                <w:sz w:val="24"/>
              </w:rPr>
            </w:pPr>
            <w:r>
              <w:rPr>
                <w:kern w:val="0"/>
                <w:sz w:val="24"/>
              </w:rPr>
              <w:t>1</w:t>
            </w:r>
          </w:p>
        </w:tc>
        <w:tc>
          <w:tcPr>
            <w:tcW w:w="1405" w:type="dxa"/>
            <w:tcBorders>
              <w:top w:val="single" w:sz="8" w:space="0" w:color="auto"/>
            </w:tcBorders>
            <w:vAlign w:val="center"/>
          </w:tcPr>
          <w:p w14:paraId="69FA3332" w14:textId="77777777" w:rsidR="00B66664" w:rsidRDefault="00264D9A">
            <w:pPr>
              <w:ind w:firstLine="440"/>
              <w:jc w:val="right"/>
              <w:rPr>
                <w:rFonts w:ascii="宋体" w:hAnsi="宋体" w:cs="宋体"/>
                <w:color w:val="000000"/>
                <w:sz w:val="22"/>
                <w:szCs w:val="22"/>
              </w:rPr>
            </w:pPr>
            <w:r>
              <w:rPr>
                <w:rFonts w:hint="eastAsia"/>
                <w:color w:val="000000"/>
                <w:sz w:val="22"/>
                <w:szCs w:val="22"/>
              </w:rPr>
              <w:t>0.1428</w:t>
            </w:r>
          </w:p>
        </w:tc>
        <w:tc>
          <w:tcPr>
            <w:tcW w:w="1989" w:type="dxa"/>
            <w:tcBorders>
              <w:top w:val="single" w:sz="8" w:space="0" w:color="auto"/>
            </w:tcBorders>
            <w:vAlign w:val="center"/>
          </w:tcPr>
          <w:p w14:paraId="3E8AE2E6" w14:textId="77777777" w:rsidR="00B66664" w:rsidRDefault="00264D9A">
            <w:pPr>
              <w:ind w:firstLine="440"/>
              <w:jc w:val="center"/>
              <w:rPr>
                <w:rFonts w:ascii="宋体" w:hAnsi="宋体" w:cs="宋体"/>
                <w:color w:val="000000"/>
                <w:sz w:val="22"/>
                <w:szCs w:val="22"/>
              </w:rPr>
            </w:pPr>
            <w:r>
              <w:rPr>
                <w:rFonts w:hint="eastAsia"/>
                <w:color w:val="000000"/>
                <w:sz w:val="22"/>
                <w:szCs w:val="22"/>
              </w:rPr>
              <w:t>67.030</w:t>
            </w:r>
          </w:p>
        </w:tc>
        <w:tc>
          <w:tcPr>
            <w:tcW w:w="1813" w:type="dxa"/>
            <w:tcBorders>
              <w:top w:val="single" w:sz="8" w:space="0" w:color="auto"/>
            </w:tcBorders>
            <w:vAlign w:val="center"/>
          </w:tcPr>
          <w:p w14:paraId="712F744F" w14:textId="77777777" w:rsidR="00B66664" w:rsidRDefault="00264D9A">
            <w:pPr>
              <w:ind w:firstLine="440"/>
              <w:jc w:val="center"/>
              <w:rPr>
                <w:rFonts w:ascii="宋体" w:hAnsi="宋体" w:cs="宋体"/>
                <w:color w:val="000000"/>
                <w:sz w:val="22"/>
                <w:szCs w:val="22"/>
              </w:rPr>
            </w:pPr>
            <w:r>
              <w:rPr>
                <w:rFonts w:hint="eastAsia"/>
                <w:color w:val="000000"/>
                <w:sz w:val="22"/>
                <w:szCs w:val="22"/>
              </w:rPr>
              <w:t>4.694</w:t>
            </w:r>
          </w:p>
        </w:tc>
        <w:tc>
          <w:tcPr>
            <w:tcW w:w="1827" w:type="dxa"/>
            <w:vMerge w:val="restart"/>
            <w:tcBorders>
              <w:top w:val="single" w:sz="8" w:space="0" w:color="auto"/>
            </w:tcBorders>
            <w:vAlign w:val="center"/>
          </w:tcPr>
          <w:p w14:paraId="448DE3F9" w14:textId="77777777" w:rsidR="00B66664" w:rsidRDefault="00264D9A">
            <w:pPr>
              <w:spacing w:line="360" w:lineRule="auto"/>
              <w:ind w:firstLineChars="0" w:firstLine="0"/>
              <w:jc w:val="center"/>
              <w:rPr>
                <w:color w:val="000000"/>
                <w:sz w:val="24"/>
              </w:rPr>
            </w:pPr>
            <w:r>
              <w:rPr>
                <w:rFonts w:hint="eastAsia"/>
                <w:color w:val="000000"/>
                <w:sz w:val="24"/>
              </w:rPr>
              <w:t>4.44</w:t>
            </w:r>
          </w:p>
        </w:tc>
      </w:tr>
      <w:tr w:rsidR="00B66664" w14:paraId="7EDB1909" w14:textId="77777777">
        <w:trPr>
          <w:jc w:val="center"/>
        </w:trPr>
        <w:tc>
          <w:tcPr>
            <w:tcW w:w="913" w:type="dxa"/>
            <w:vAlign w:val="center"/>
          </w:tcPr>
          <w:p w14:paraId="60BC6492" w14:textId="77777777" w:rsidR="00B66664" w:rsidRDefault="00264D9A">
            <w:pPr>
              <w:spacing w:line="360" w:lineRule="auto"/>
              <w:ind w:firstLineChars="0" w:firstLine="0"/>
              <w:jc w:val="center"/>
              <w:rPr>
                <w:kern w:val="0"/>
                <w:sz w:val="24"/>
              </w:rPr>
            </w:pPr>
            <w:r>
              <w:rPr>
                <w:kern w:val="0"/>
                <w:sz w:val="24"/>
              </w:rPr>
              <w:t>2</w:t>
            </w:r>
          </w:p>
        </w:tc>
        <w:tc>
          <w:tcPr>
            <w:tcW w:w="1405" w:type="dxa"/>
            <w:vAlign w:val="center"/>
          </w:tcPr>
          <w:p w14:paraId="366B25F5" w14:textId="77777777" w:rsidR="00B66664" w:rsidRDefault="00264D9A">
            <w:pPr>
              <w:ind w:firstLine="440"/>
              <w:jc w:val="right"/>
              <w:rPr>
                <w:rFonts w:ascii="宋体" w:hAnsi="宋体" w:cs="宋体"/>
                <w:color w:val="000000"/>
                <w:sz w:val="22"/>
                <w:szCs w:val="22"/>
              </w:rPr>
            </w:pPr>
            <w:r>
              <w:rPr>
                <w:rFonts w:hint="eastAsia"/>
                <w:color w:val="000000"/>
                <w:sz w:val="22"/>
                <w:szCs w:val="22"/>
              </w:rPr>
              <w:t>0.1345</w:t>
            </w:r>
          </w:p>
        </w:tc>
        <w:tc>
          <w:tcPr>
            <w:tcW w:w="1989" w:type="dxa"/>
            <w:vAlign w:val="center"/>
          </w:tcPr>
          <w:p w14:paraId="479BF794" w14:textId="77777777" w:rsidR="00B66664" w:rsidRDefault="00264D9A">
            <w:pPr>
              <w:ind w:firstLine="440"/>
              <w:jc w:val="center"/>
              <w:rPr>
                <w:rFonts w:ascii="宋体" w:hAnsi="宋体" w:cs="宋体"/>
                <w:color w:val="000000"/>
                <w:sz w:val="22"/>
                <w:szCs w:val="22"/>
              </w:rPr>
            </w:pPr>
            <w:r>
              <w:rPr>
                <w:rFonts w:hint="eastAsia"/>
                <w:color w:val="000000"/>
                <w:sz w:val="22"/>
                <w:szCs w:val="22"/>
              </w:rPr>
              <w:t>67.765</w:t>
            </w:r>
          </w:p>
        </w:tc>
        <w:tc>
          <w:tcPr>
            <w:tcW w:w="1813" w:type="dxa"/>
            <w:vAlign w:val="center"/>
          </w:tcPr>
          <w:p w14:paraId="4575BEDC" w14:textId="77777777" w:rsidR="00B66664" w:rsidRDefault="00264D9A">
            <w:pPr>
              <w:ind w:firstLine="440"/>
              <w:jc w:val="center"/>
              <w:rPr>
                <w:rFonts w:ascii="宋体" w:hAnsi="宋体" w:cs="宋体"/>
                <w:color w:val="000000"/>
                <w:sz w:val="22"/>
                <w:szCs w:val="22"/>
              </w:rPr>
            </w:pPr>
            <w:r>
              <w:rPr>
                <w:rFonts w:hint="eastAsia"/>
                <w:color w:val="000000"/>
                <w:sz w:val="22"/>
                <w:szCs w:val="22"/>
              </w:rPr>
              <w:t>5.047</w:t>
            </w:r>
          </w:p>
        </w:tc>
        <w:tc>
          <w:tcPr>
            <w:tcW w:w="1827" w:type="dxa"/>
            <w:vMerge/>
            <w:vAlign w:val="center"/>
          </w:tcPr>
          <w:p w14:paraId="5127CC72" w14:textId="77777777" w:rsidR="00B66664" w:rsidRDefault="00B66664">
            <w:pPr>
              <w:spacing w:line="360" w:lineRule="auto"/>
              <w:ind w:firstLineChars="0" w:firstLine="0"/>
              <w:jc w:val="center"/>
              <w:rPr>
                <w:kern w:val="0"/>
                <w:sz w:val="24"/>
              </w:rPr>
            </w:pPr>
          </w:p>
        </w:tc>
      </w:tr>
      <w:tr w:rsidR="00B66664" w14:paraId="314CBCC1" w14:textId="77777777">
        <w:trPr>
          <w:jc w:val="center"/>
        </w:trPr>
        <w:tc>
          <w:tcPr>
            <w:tcW w:w="913" w:type="dxa"/>
            <w:vAlign w:val="center"/>
          </w:tcPr>
          <w:p w14:paraId="365C767D" w14:textId="77777777" w:rsidR="00B66664" w:rsidRDefault="00264D9A">
            <w:pPr>
              <w:spacing w:line="360" w:lineRule="auto"/>
              <w:ind w:firstLineChars="0" w:firstLine="0"/>
              <w:jc w:val="center"/>
              <w:rPr>
                <w:kern w:val="0"/>
                <w:sz w:val="24"/>
              </w:rPr>
            </w:pPr>
            <w:r>
              <w:rPr>
                <w:kern w:val="0"/>
                <w:sz w:val="24"/>
              </w:rPr>
              <w:t>3</w:t>
            </w:r>
          </w:p>
        </w:tc>
        <w:tc>
          <w:tcPr>
            <w:tcW w:w="1405" w:type="dxa"/>
            <w:vAlign w:val="center"/>
          </w:tcPr>
          <w:p w14:paraId="143A7BF2" w14:textId="77777777" w:rsidR="00B66664" w:rsidRDefault="00264D9A">
            <w:pPr>
              <w:ind w:firstLine="440"/>
              <w:jc w:val="right"/>
              <w:rPr>
                <w:rFonts w:ascii="宋体" w:hAnsi="宋体" w:cs="宋体"/>
                <w:color w:val="000000"/>
                <w:sz w:val="22"/>
                <w:szCs w:val="22"/>
              </w:rPr>
            </w:pPr>
            <w:r>
              <w:rPr>
                <w:rFonts w:hint="eastAsia"/>
                <w:color w:val="000000"/>
                <w:sz w:val="22"/>
                <w:szCs w:val="22"/>
              </w:rPr>
              <w:t>0.1363</w:t>
            </w:r>
          </w:p>
        </w:tc>
        <w:tc>
          <w:tcPr>
            <w:tcW w:w="1989" w:type="dxa"/>
            <w:vAlign w:val="center"/>
          </w:tcPr>
          <w:p w14:paraId="22B1A0EC" w14:textId="77777777" w:rsidR="00B66664" w:rsidRDefault="00264D9A">
            <w:pPr>
              <w:ind w:firstLine="440"/>
              <w:jc w:val="center"/>
              <w:rPr>
                <w:rFonts w:ascii="宋体" w:hAnsi="宋体" w:cs="宋体"/>
                <w:color w:val="000000"/>
                <w:sz w:val="22"/>
                <w:szCs w:val="22"/>
              </w:rPr>
            </w:pPr>
            <w:r>
              <w:rPr>
                <w:rFonts w:hint="eastAsia"/>
                <w:color w:val="000000"/>
                <w:sz w:val="22"/>
                <w:szCs w:val="22"/>
              </w:rPr>
              <w:t>62.375</w:t>
            </w:r>
          </w:p>
        </w:tc>
        <w:tc>
          <w:tcPr>
            <w:tcW w:w="1813" w:type="dxa"/>
            <w:vAlign w:val="center"/>
          </w:tcPr>
          <w:p w14:paraId="13774572" w14:textId="77777777" w:rsidR="00B66664" w:rsidRDefault="00264D9A">
            <w:pPr>
              <w:ind w:firstLine="440"/>
              <w:jc w:val="center"/>
              <w:rPr>
                <w:rFonts w:ascii="宋体" w:hAnsi="宋体" w:cs="宋体"/>
                <w:color w:val="000000"/>
                <w:sz w:val="22"/>
                <w:szCs w:val="22"/>
              </w:rPr>
            </w:pPr>
            <w:r>
              <w:rPr>
                <w:rFonts w:hint="eastAsia"/>
                <w:color w:val="000000"/>
                <w:sz w:val="22"/>
                <w:szCs w:val="22"/>
              </w:rPr>
              <w:t>4.576</w:t>
            </w:r>
          </w:p>
        </w:tc>
        <w:tc>
          <w:tcPr>
            <w:tcW w:w="1827" w:type="dxa"/>
            <w:vMerge/>
            <w:vAlign w:val="center"/>
          </w:tcPr>
          <w:p w14:paraId="61AFD35F" w14:textId="77777777" w:rsidR="00B66664" w:rsidRDefault="00B66664">
            <w:pPr>
              <w:spacing w:line="360" w:lineRule="auto"/>
              <w:ind w:firstLineChars="0" w:firstLine="0"/>
              <w:jc w:val="center"/>
              <w:rPr>
                <w:kern w:val="0"/>
                <w:sz w:val="24"/>
              </w:rPr>
            </w:pPr>
          </w:p>
        </w:tc>
      </w:tr>
      <w:tr w:rsidR="00B66664" w14:paraId="154984AC" w14:textId="77777777">
        <w:trPr>
          <w:jc w:val="center"/>
        </w:trPr>
        <w:tc>
          <w:tcPr>
            <w:tcW w:w="913" w:type="dxa"/>
            <w:vAlign w:val="center"/>
          </w:tcPr>
          <w:p w14:paraId="67F1F866" w14:textId="77777777" w:rsidR="00B66664" w:rsidRDefault="00264D9A">
            <w:pPr>
              <w:spacing w:line="360" w:lineRule="auto"/>
              <w:ind w:firstLineChars="0" w:firstLine="0"/>
              <w:jc w:val="center"/>
              <w:rPr>
                <w:kern w:val="0"/>
                <w:sz w:val="24"/>
              </w:rPr>
            </w:pPr>
            <w:r>
              <w:rPr>
                <w:kern w:val="0"/>
                <w:sz w:val="24"/>
              </w:rPr>
              <w:t>4</w:t>
            </w:r>
          </w:p>
        </w:tc>
        <w:tc>
          <w:tcPr>
            <w:tcW w:w="1405" w:type="dxa"/>
            <w:vAlign w:val="center"/>
          </w:tcPr>
          <w:p w14:paraId="48D35B6A" w14:textId="77777777" w:rsidR="00B66664" w:rsidRDefault="00264D9A">
            <w:pPr>
              <w:ind w:firstLine="440"/>
              <w:jc w:val="right"/>
              <w:rPr>
                <w:rFonts w:ascii="宋体" w:hAnsi="宋体" w:cs="宋体"/>
                <w:color w:val="000000"/>
                <w:sz w:val="22"/>
                <w:szCs w:val="22"/>
              </w:rPr>
            </w:pPr>
            <w:r>
              <w:rPr>
                <w:rFonts w:hint="eastAsia"/>
                <w:color w:val="000000"/>
                <w:sz w:val="22"/>
                <w:szCs w:val="22"/>
              </w:rPr>
              <w:t>0.1240</w:t>
            </w:r>
          </w:p>
        </w:tc>
        <w:tc>
          <w:tcPr>
            <w:tcW w:w="1989" w:type="dxa"/>
            <w:vAlign w:val="center"/>
          </w:tcPr>
          <w:p w14:paraId="6F66BCBC" w14:textId="77777777" w:rsidR="00B66664" w:rsidRDefault="00264D9A">
            <w:pPr>
              <w:ind w:firstLine="440"/>
              <w:jc w:val="center"/>
              <w:rPr>
                <w:rFonts w:ascii="宋体" w:hAnsi="宋体" w:cs="宋体"/>
                <w:color w:val="000000"/>
                <w:sz w:val="22"/>
                <w:szCs w:val="22"/>
              </w:rPr>
            </w:pPr>
            <w:r>
              <w:rPr>
                <w:rFonts w:hint="eastAsia"/>
                <w:color w:val="000000"/>
                <w:sz w:val="22"/>
                <w:szCs w:val="22"/>
              </w:rPr>
              <w:t>61.964</w:t>
            </w:r>
          </w:p>
        </w:tc>
        <w:tc>
          <w:tcPr>
            <w:tcW w:w="1813" w:type="dxa"/>
            <w:vAlign w:val="center"/>
          </w:tcPr>
          <w:p w14:paraId="53636039" w14:textId="77777777" w:rsidR="00B66664" w:rsidRDefault="00264D9A">
            <w:pPr>
              <w:ind w:firstLine="440"/>
              <w:jc w:val="center"/>
              <w:rPr>
                <w:rFonts w:ascii="宋体" w:hAnsi="宋体" w:cs="宋体"/>
                <w:color w:val="000000"/>
                <w:sz w:val="22"/>
                <w:szCs w:val="22"/>
              </w:rPr>
            </w:pPr>
            <w:r>
              <w:rPr>
                <w:rFonts w:hint="eastAsia"/>
                <w:color w:val="000000"/>
                <w:sz w:val="22"/>
                <w:szCs w:val="22"/>
              </w:rPr>
              <w:t>4.997</w:t>
            </w:r>
          </w:p>
        </w:tc>
        <w:tc>
          <w:tcPr>
            <w:tcW w:w="1827" w:type="dxa"/>
            <w:vMerge/>
            <w:vAlign w:val="center"/>
          </w:tcPr>
          <w:p w14:paraId="266F4226" w14:textId="77777777" w:rsidR="00B66664" w:rsidRDefault="00B66664">
            <w:pPr>
              <w:spacing w:line="360" w:lineRule="auto"/>
              <w:ind w:firstLineChars="0" w:firstLine="0"/>
              <w:jc w:val="center"/>
              <w:rPr>
                <w:kern w:val="0"/>
                <w:sz w:val="24"/>
              </w:rPr>
            </w:pPr>
          </w:p>
        </w:tc>
      </w:tr>
      <w:tr w:rsidR="00B66664" w14:paraId="2742635A" w14:textId="77777777">
        <w:trPr>
          <w:jc w:val="center"/>
        </w:trPr>
        <w:tc>
          <w:tcPr>
            <w:tcW w:w="913" w:type="dxa"/>
            <w:vAlign w:val="center"/>
          </w:tcPr>
          <w:p w14:paraId="40737E4B" w14:textId="77777777" w:rsidR="00B66664" w:rsidRDefault="00264D9A">
            <w:pPr>
              <w:spacing w:line="360" w:lineRule="auto"/>
              <w:ind w:firstLineChars="0" w:firstLine="0"/>
              <w:jc w:val="center"/>
              <w:rPr>
                <w:kern w:val="0"/>
                <w:sz w:val="24"/>
              </w:rPr>
            </w:pPr>
            <w:r>
              <w:rPr>
                <w:kern w:val="0"/>
                <w:sz w:val="24"/>
              </w:rPr>
              <w:t>5</w:t>
            </w:r>
          </w:p>
        </w:tc>
        <w:tc>
          <w:tcPr>
            <w:tcW w:w="1405" w:type="dxa"/>
            <w:vAlign w:val="center"/>
          </w:tcPr>
          <w:p w14:paraId="29C0EBD9" w14:textId="77777777" w:rsidR="00B66664" w:rsidRDefault="00264D9A">
            <w:pPr>
              <w:ind w:firstLine="440"/>
              <w:jc w:val="right"/>
              <w:rPr>
                <w:rFonts w:ascii="宋体" w:hAnsi="宋体" w:cs="宋体"/>
                <w:sz w:val="22"/>
                <w:szCs w:val="22"/>
              </w:rPr>
            </w:pPr>
            <w:r>
              <w:rPr>
                <w:rFonts w:hint="eastAsia"/>
                <w:sz w:val="22"/>
                <w:szCs w:val="22"/>
              </w:rPr>
              <w:t>0.1268</w:t>
            </w:r>
          </w:p>
        </w:tc>
        <w:tc>
          <w:tcPr>
            <w:tcW w:w="1989" w:type="dxa"/>
            <w:vAlign w:val="center"/>
          </w:tcPr>
          <w:p w14:paraId="6924AD2F" w14:textId="77777777" w:rsidR="00B66664" w:rsidRDefault="00264D9A">
            <w:pPr>
              <w:ind w:firstLine="440"/>
              <w:jc w:val="center"/>
              <w:rPr>
                <w:rFonts w:ascii="宋体" w:hAnsi="宋体" w:cs="宋体"/>
                <w:sz w:val="22"/>
                <w:szCs w:val="22"/>
              </w:rPr>
            </w:pPr>
            <w:r>
              <w:rPr>
                <w:rFonts w:hint="eastAsia"/>
                <w:sz w:val="22"/>
                <w:szCs w:val="22"/>
              </w:rPr>
              <w:t>59.032</w:t>
            </w:r>
          </w:p>
        </w:tc>
        <w:tc>
          <w:tcPr>
            <w:tcW w:w="1813" w:type="dxa"/>
            <w:vAlign w:val="center"/>
          </w:tcPr>
          <w:p w14:paraId="3F14DD9C" w14:textId="77777777" w:rsidR="00B66664" w:rsidRDefault="00264D9A">
            <w:pPr>
              <w:ind w:firstLine="440"/>
              <w:jc w:val="center"/>
              <w:rPr>
                <w:rFonts w:ascii="宋体" w:hAnsi="宋体" w:cs="宋体"/>
                <w:color w:val="000000"/>
                <w:sz w:val="22"/>
                <w:szCs w:val="22"/>
              </w:rPr>
            </w:pPr>
            <w:r>
              <w:rPr>
                <w:rFonts w:hint="eastAsia"/>
                <w:color w:val="000000"/>
                <w:sz w:val="22"/>
                <w:szCs w:val="22"/>
              </w:rPr>
              <w:t>4.656</w:t>
            </w:r>
          </w:p>
        </w:tc>
        <w:tc>
          <w:tcPr>
            <w:tcW w:w="1827" w:type="dxa"/>
            <w:vMerge/>
            <w:vAlign w:val="center"/>
          </w:tcPr>
          <w:p w14:paraId="1E8674FA" w14:textId="77777777" w:rsidR="00B66664" w:rsidRDefault="00B66664">
            <w:pPr>
              <w:spacing w:line="360" w:lineRule="auto"/>
              <w:ind w:firstLineChars="0" w:firstLine="0"/>
              <w:jc w:val="center"/>
              <w:rPr>
                <w:kern w:val="0"/>
                <w:sz w:val="24"/>
              </w:rPr>
            </w:pPr>
          </w:p>
        </w:tc>
      </w:tr>
      <w:tr w:rsidR="00B66664" w14:paraId="382D5912" w14:textId="77777777">
        <w:trPr>
          <w:jc w:val="center"/>
        </w:trPr>
        <w:tc>
          <w:tcPr>
            <w:tcW w:w="913" w:type="dxa"/>
            <w:tcBorders>
              <w:bottom w:val="single" w:sz="8" w:space="0" w:color="auto"/>
            </w:tcBorders>
            <w:vAlign w:val="center"/>
          </w:tcPr>
          <w:p w14:paraId="38EA46F1" w14:textId="77777777" w:rsidR="00B66664" w:rsidRDefault="00264D9A">
            <w:pPr>
              <w:spacing w:line="360" w:lineRule="auto"/>
              <w:ind w:firstLineChars="0" w:firstLine="0"/>
              <w:jc w:val="center"/>
              <w:rPr>
                <w:kern w:val="0"/>
                <w:sz w:val="24"/>
              </w:rPr>
            </w:pPr>
            <w:r>
              <w:rPr>
                <w:kern w:val="0"/>
                <w:sz w:val="24"/>
              </w:rPr>
              <w:t>6</w:t>
            </w:r>
          </w:p>
        </w:tc>
        <w:tc>
          <w:tcPr>
            <w:tcW w:w="1405" w:type="dxa"/>
            <w:tcBorders>
              <w:bottom w:val="single" w:sz="8" w:space="0" w:color="auto"/>
            </w:tcBorders>
            <w:vAlign w:val="center"/>
          </w:tcPr>
          <w:p w14:paraId="0EB05DD3" w14:textId="77777777" w:rsidR="00B66664" w:rsidRDefault="00264D9A">
            <w:pPr>
              <w:ind w:firstLine="440"/>
              <w:jc w:val="right"/>
              <w:rPr>
                <w:rFonts w:ascii="宋体" w:hAnsi="宋体" w:cs="宋体"/>
                <w:sz w:val="22"/>
                <w:szCs w:val="22"/>
              </w:rPr>
            </w:pPr>
            <w:r>
              <w:rPr>
                <w:rFonts w:hint="eastAsia"/>
                <w:sz w:val="22"/>
                <w:szCs w:val="22"/>
              </w:rPr>
              <w:t>0.1331</w:t>
            </w:r>
          </w:p>
        </w:tc>
        <w:tc>
          <w:tcPr>
            <w:tcW w:w="1989" w:type="dxa"/>
            <w:tcBorders>
              <w:bottom w:val="single" w:sz="8" w:space="0" w:color="auto"/>
            </w:tcBorders>
            <w:vAlign w:val="center"/>
          </w:tcPr>
          <w:p w14:paraId="1F0C2C10" w14:textId="77777777" w:rsidR="00B66664" w:rsidRDefault="00264D9A">
            <w:pPr>
              <w:ind w:firstLine="440"/>
              <w:jc w:val="center"/>
              <w:rPr>
                <w:rFonts w:ascii="宋体" w:hAnsi="宋体" w:cs="宋体"/>
                <w:sz w:val="22"/>
                <w:szCs w:val="22"/>
              </w:rPr>
            </w:pPr>
            <w:r>
              <w:rPr>
                <w:rFonts w:hint="eastAsia"/>
                <w:sz w:val="22"/>
                <w:szCs w:val="22"/>
              </w:rPr>
              <w:t>65.315</w:t>
            </w:r>
          </w:p>
        </w:tc>
        <w:tc>
          <w:tcPr>
            <w:tcW w:w="1813" w:type="dxa"/>
            <w:tcBorders>
              <w:bottom w:val="single" w:sz="8" w:space="0" w:color="auto"/>
            </w:tcBorders>
            <w:vAlign w:val="center"/>
          </w:tcPr>
          <w:p w14:paraId="3103356F" w14:textId="77777777" w:rsidR="00B66664" w:rsidRDefault="00264D9A">
            <w:pPr>
              <w:ind w:firstLine="440"/>
              <w:jc w:val="center"/>
              <w:rPr>
                <w:rFonts w:ascii="宋体" w:hAnsi="宋体" w:cs="宋体"/>
                <w:color w:val="000000"/>
                <w:sz w:val="22"/>
                <w:szCs w:val="22"/>
              </w:rPr>
            </w:pPr>
            <w:r>
              <w:rPr>
                <w:rFonts w:hint="eastAsia"/>
                <w:color w:val="000000"/>
                <w:sz w:val="22"/>
                <w:szCs w:val="22"/>
              </w:rPr>
              <w:t>4.907</w:t>
            </w:r>
          </w:p>
        </w:tc>
        <w:tc>
          <w:tcPr>
            <w:tcW w:w="1827" w:type="dxa"/>
            <w:vMerge/>
            <w:tcBorders>
              <w:bottom w:val="single" w:sz="8" w:space="0" w:color="auto"/>
            </w:tcBorders>
            <w:vAlign w:val="center"/>
          </w:tcPr>
          <w:p w14:paraId="6325B212" w14:textId="77777777" w:rsidR="00B66664" w:rsidRDefault="00B66664">
            <w:pPr>
              <w:spacing w:line="360" w:lineRule="auto"/>
              <w:ind w:firstLineChars="0" w:firstLine="0"/>
              <w:jc w:val="center"/>
              <w:rPr>
                <w:kern w:val="0"/>
                <w:sz w:val="24"/>
              </w:rPr>
            </w:pPr>
          </w:p>
        </w:tc>
      </w:tr>
    </w:tbl>
    <w:p w14:paraId="3EBEDD08" w14:textId="77777777" w:rsidR="00B66664" w:rsidRDefault="00264D9A">
      <w:pPr>
        <w:pStyle w:val="2"/>
        <w:spacing w:beforeLines="50" w:before="156"/>
      </w:pPr>
      <w:bookmarkStart w:id="23" w:name="_Toc20236"/>
      <w:r>
        <w:rPr>
          <w:rFonts w:hint="eastAsia"/>
        </w:rPr>
        <w:t>5.7</w:t>
      </w:r>
      <w:r>
        <w:rPr>
          <w:rFonts w:hint="eastAsia"/>
        </w:rPr>
        <w:t>方法回收率</w:t>
      </w:r>
      <w:bookmarkEnd w:id="23"/>
    </w:p>
    <w:p w14:paraId="3B325F69" w14:textId="77777777" w:rsidR="00B66664" w:rsidRDefault="00264D9A">
      <w:pPr>
        <w:pStyle w:val="a9"/>
      </w:pPr>
      <w:r>
        <w:rPr>
          <w:rFonts w:hint="eastAsia"/>
        </w:rPr>
        <w:t xml:space="preserve">5.7.1 </w:t>
      </w:r>
      <w:r>
        <w:rPr>
          <w:rFonts w:hint="eastAsia"/>
        </w:rPr>
        <w:t>胺鲜酯回收率</w:t>
      </w:r>
    </w:p>
    <w:p w14:paraId="16832161" w14:textId="77777777" w:rsidR="00B66664" w:rsidRDefault="00264D9A">
      <w:pPr>
        <w:ind w:firstLine="560"/>
      </w:pPr>
      <w:r>
        <w:rPr>
          <w:rFonts w:hint="eastAsia"/>
        </w:rPr>
        <w:t>称取样品，分别设高、中、低三个添加水平，每个水平六个重复。按该方法进行样品前处理，采用同样的色谱条件依次对样品进行检测。分别计算高、中、低三个浓度的加标回收率，实验数据见表</w:t>
      </w:r>
      <w:r>
        <w:rPr>
          <w:rFonts w:hint="eastAsia"/>
        </w:rPr>
        <w:t>7</w:t>
      </w:r>
      <w:r>
        <w:rPr>
          <w:rFonts w:hint="eastAsia"/>
        </w:rPr>
        <w:t>，不同添加水平的平均添加回收率在</w:t>
      </w:r>
      <w:r>
        <w:rPr>
          <w:rFonts w:hint="eastAsia"/>
        </w:rPr>
        <w:t>83.4%</w:t>
      </w:r>
      <w:r>
        <w:rPr>
          <w:rFonts w:hint="eastAsia"/>
        </w:rPr>
        <w:t>～</w:t>
      </w:r>
      <w:r>
        <w:rPr>
          <w:rFonts w:hint="eastAsia"/>
        </w:rPr>
        <w:t>97.1%</w:t>
      </w:r>
      <w:r>
        <w:rPr>
          <w:rFonts w:hint="eastAsia"/>
        </w:rPr>
        <w:t>之间，均符合分析要求。</w:t>
      </w:r>
    </w:p>
    <w:p w14:paraId="3FA43EBC" w14:textId="77777777" w:rsidR="00B66664" w:rsidRDefault="00264D9A">
      <w:pPr>
        <w:pStyle w:val="a3"/>
        <w:spacing w:after="156"/>
        <w:ind w:firstLine="480"/>
      </w:pPr>
      <w:r>
        <w:t>表</w:t>
      </w:r>
      <w:r>
        <w:rPr>
          <w:rFonts w:hint="eastAsia"/>
        </w:rPr>
        <w:t>7</w:t>
      </w:r>
      <w:r>
        <w:t xml:space="preserve"> </w:t>
      </w:r>
      <w:r>
        <w:rPr>
          <w:rFonts w:hint="eastAsia"/>
        </w:rPr>
        <w:t>胺鲜酯</w:t>
      </w:r>
      <w:r>
        <w:t>加标回收率数据表</w:t>
      </w:r>
    </w:p>
    <w:tbl>
      <w:tblPr>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4"/>
        <w:gridCol w:w="1275"/>
        <w:gridCol w:w="1134"/>
        <w:gridCol w:w="1134"/>
        <w:gridCol w:w="1108"/>
        <w:gridCol w:w="1152"/>
      </w:tblGrid>
      <w:tr w:rsidR="00B66664" w14:paraId="644751C2" w14:textId="77777777">
        <w:trPr>
          <w:jc w:val="center"/>
        </w:trPr>
        <w:tc>
          <w:tcPr>
            <w:tcW w:w="1276" w:type="dxa"/>
            <w:vMerge w:val="restart"/>
            <w:tcBorders>
              <w:left w:val="nil"/>
              <w:bottom w:val="single" w:sz="4" w:space="0" w:color="auto"/>
              <w:right w:val="nil"/>
            </w:tcBorders>
            <w:vAlign w:val="center"/>
          </w:tcPr>
          <w:p w14:paraId="1B078A7D" w14:textId="77777777" w:rsidR="00B66664" w:rsidRDefault="00264D9A">
            <w:pPr>
              <w:ind w:firstLineChars="0" w:firstLine="0"/>
              <w:jc w:val="center"/>
              <w:rPr>
                <w:sz w:val="24"/>
              </w:rPr>
            </w:pPr>
            <w:r>
              <w:rPr>
                <w:rFonts w:hAnsiTheme="minorEastAsia"/>
                <w:sz w:val="24"/>
              </w:rPr>
              <w:t>平行样编号</w:t>
            </w:r>
          </w:p>
        </w:tc>
        <w:tc>
          <w:tcPr>
            <w:tcW w:w="6937" w:type="dxa"/>
            <w:gridSpan w:val="6"/>
            <w:tcBorders>
              <w:left w:val="nil"/>
              <w:bottom w:val="single" w:sz="4" w:space="0" w:color="auto"/>
              <w:right w:val="nil"/>
            </w:tcBorders>
            <w:vAlign w:val="center"/>
          </w:tcPr>
          <w:p w14:paraId="0B58AF3C" w14:textId="77777777" w:rsidR="00B66664" w:rsidRDefault="00264D9A">
            <w:pPr>
              <w:ind w:firstLineChars="0" w:firstLine="0"/>
              <w:jc w:val="center"/>
              <w:rPr>
                <w:sz w:val="24"/>
              </w:rPr>
            </w:pPr>
            <w:r>
              <w:rPr>
                <w:rFonts w:hAnsiTheme="minorEastAsia"/>
                <w:sz w:val="24"/>
              </w:rPr>
              <w:t>测定结果</w:t>
            </w:r>
          </w:p>
        </w:tc>
      </w:tr>
      <w:tr w:rsidR="00B66664" w14:paraId="1EF49CF9" w14:textId="77777777">
        <w:trPr>
          <w:jc w:val="center"/>
        </w:trPr>
        <w:tc>
          <w:tcPr>
            <w:tcW w:w="1276" w:type="dxa"/>
            <w:vMerge/>
            <w:tcBorders>
              <w:top w:val="single" w:sz="4" w:space="0" w:color="auto"/>
              <w:left w:val="nil"/>
              <w:bottom w:val="single" w:sz="4" w:space="0" w:color="auto"/>
              <w:right w:val="nil"/>
            </w:tcBorders>
            <w:vAlign w:val="center"/>
          </w:tcPr>
          <w:p w14:paraId="1F186BD3" w14:textId="77777777" w:rsidR="00B66664" w:rsidRDefault="00B66664">
            <w:pPr>
              <w:ind w:firstLineChars="0" w:firstLine="0"/>
              <w:jc w:val="center"/>
              <w:rPr>
                <w:sz w:val="24"/>
              </w:rPr>
            </w:pPr>
          </w:p>
        </w:tc>
        <w:tc>
          <w:tcPr>
            <w:tcW w:w="2409" w:type="dxa"/>
            <w:gridSpan w:val="2"/>
            <w:tcBorders>
              <w:top w:val="single" w:sz="4" w:space="0" w:color="auto"/>
              <w:left w:val="nil"/>
              <w:bottom w:val="single" w:sz="4" w:space="0" w:color="auto"/>
              <w:right w:val="nil"/>
            </w:tcBorders>
            <w:vAlign w:val="center"/>
          </w:tcPr>
          <w:p w14:paraId="06ED4A28" w14:textId="77777777" w:rsidR="00B66664" w:rsidRDefault="00264D9A">
            <w:pPr>
              <w:ind w:firstLineChars="0" w:firstLine="0"/>
              <w:jc w:val="center"/>
              <w:rPr>
                <w:sz w:val="24"/>
              </w:rPr>
            </w:pPr>
            <w:r>
              <w:rPr>
                <w:rFonts w:hAnsiTheme="minorEastAsia"/>
                <w:sz w:val="24"/>
              </w:rPr>
              <w:t>低水平</w:t>
            </w:r>
          </w:p>
        </w:tc>
        <w:tc>
          <w:tcPr>
            <w:tcW w:w="2268" w:type="dxa"/>
            <w:gridSpan w:val="2"/>
            <w:tcBorders>
              <w:top w:val="single" w:sz="4" w:space="0" w:color="auto"/>
              <w:left w:val="nil"/>
              <w:bottom w:val="single" w:sz="4" w:space="0" w:color="auto"/>
              <w:right w:val="nil"/>
            </w:tcBorders>
            <w:vAlign w:val="center"/>
          </w:tcPr>
          <w:p w14:paraId="5842A577" w14:textId="77777777" w:rsidR="00B66664" w:rsidRDefault="00264D9A">
            <w:pPr>
              <w:ind w:firstLineChars="0" w:firstLine="0"/>
              <w:jc w:val="center"/>
              <w:rPr>
                <w:sz w:val="24"/>
              </w:rPr>
            </w:pPr>
            <w:r>
              <w:rPr>
                <w:rFonts w:hAnsiTheme="minorEastAsia"/>
                <w:sz w:val="24"/>
              </w:rPr>
              <w:t>中水平</w:t>
            </w:r>
          </w:p>
        </w:tc>
        <w:tc>
          <w:tcPr>
            <w:tcW w:w="2260" w:type="dxa"/>
            <w:gridSpan w:val="2"/>
            <w:tcBorders>
              <w:top w:val="single" w:sz="4" w:space="0" w:color="auto"/>
              <w:left w:val="nil"/>
              <w:bottom w:val="single" w:sz="4" w:space="0" w:color="auto"/>
              <w:right w:val="nil"/>
            </w:tcBorders>
          </w:tcPr>
          <w:p w14:paraId="0FD2A445" w14:textId="77777777" w:rsidR="00B66664" w:rsidRDefault="00264D9A">
            <w:pPr>
              <w:ind w:firstLineChars="0" w:firstLine="0"/>
              <w:jc w:val="center"/>
              <w:rPr>
                <w:sz w:val="24"/>
              </w:rPr>
            </w:pPr>
            <w:r>
              <w:rPr>
                <w:rFonts w:hAnsiTheme="minorEastAsia"/>
                <w:sz w:val="24"/>
              </w:rPr>
              <w:t>高水平</w:t>
            </w:r>
          </w:p>
        </w:tc>
      </w:tr>
      <w:tr w:rsidR="00B66664" w14:paraId="45F48891" w14:textId="77777777">
        <w:trPr>
          <w:trHeight w:val="498"/>
          <w:jc w:val="center"/>
        </w:trPr>
        <w:tc>
          <w:tcPr>
            <w:tcW w:w="1276" w:type="dxa"/>
            <w:vMerge/>
            <w:tcBorders>
              <w:top w:val="single" w:sz="4" w:space="0" w:color="auto"/>
              <w:left w:val="nil"/>
              <w:bottom w:val="single" w:sz="4" w:space="0" w:color="auto"/>
              <w:right w:val="nil"/>
            </w:tcBorders>
            <w:vAlign w:val="center"/>
          </w:tcPr>
          <w:p w14:paraId="2936AEE3" w14:textId="77777777" w:rsidR="00B66664" w:rsidRDefault="00B66664">
            <w:pPr>
              <w:ind w:firstLineChars="0" w:firstLine="0"/>
              <w:jc w:val="center"/>
              <w:rPr>
                <w:sz w:val="24"/>
              </w:rPr>
            </w:pPr>
          </w:p>
        </w:tc>
        <w:tc>
          <w:tcPr>
            <w:tcW w:w="1134" w:type="dxa"/>
            <w:tcBorders>
              <w:top w:val="single" w:sz="4" w:space="0" w:color="auto"/>
              <w:left w:val="nil"/>
              <w:bottom w:val="single" w:sz="4" w:space="0" w:color="auto"/>
              <w:right w:val="nil"/>
            </w:tcBorders>
            <w:vAlign w:val="center"/>
          </w:tcPr>
          <w:p w14:paraId="31DFF74F" w14:textId="77777777" w:rsidR="00B66664" w:rsidRDefault="00264D9A">
            <w:pPr>
              <w:ind w:firstLineChars="0" w:firstLine="0"/>
              <w:jc w:val="center"/>
              <w:rPr>
                <w:sz w:val="24"/>
              </w:rPr>
            </w:pPr>
            <w:r>
              <w:rPr>
                <w:rFonts w:hAnsiTheme="minorEastAsia"/>
                <w:sz w:val="24"/>
              </w:rPr>
              <w:t>添加量</w:t>
            </w:r>
            <w:r>
              <w:rPr>
                <w:rFonts w:hAnsiTheme="minorEastAsia" w:hint="eastAsia"/>
                <w:sz w:val="24"/>
              </w:rPr>
              <w:t>/mg</w:t>
            </w:r>
          </w:p>
        </w:tc>
        <w:tc>
          <w:tcPr>
            <w:tcW w:w="1275" w:type="dxa"/>
            <w:tcBorders>
              <w:top w:val="single" w:sz="4" w:space="0" w:color="auto"/>
              <w:left w:val="nil"/>
              <w:bottom w:val="single" w:sz="4" w:space="0" w:color="auto"/>
              <w:right w:val="nil"/>
            </w:tcBorders>
            <w:vAlign w:val="center"/>
          </w:tcPr>
          <w:p w14:paraId="781F580E" w14:textId="77777777" w:rsidR="00B66664" w:rsidRDefault="00264D9A">
            <w:pPr>
              <w:ind w:firstLineChars="0" w:firstLine="0"/>
              <w:jc w:val="center"/>
              <w:rPr>
                <w:sz w:val="24"/>
              </w:rPr>
            </w:pPr>
            <w:r>
              <w:rPr>
                <w:rFonts w:hAnsiTheme="minorEastAsia"/>
                <w:sz w:val="24"/>
              </w:rPr>
              <w:t>测定值</w:t>
            </w:r>
            <w:r>
              <w:rPr>
                <w:rFonts w:hAnsiTheme="minorEastAsia"/>
                <w:sz w:val="24"/>
              </w:rPr>
              <w:t>/mg</w:t>
            </w:r>
          </w:p>
        </w:tc>
        <w:tc>
          <w:tcPr>
            <w:tcW w:w="1134" w:type="dxa"/>
            <w:tcBorders>
              <w:top w:val="single" w:sz="4" w:space="0" w:color="auto"/>
              <w:left w:val="nil"/>
              <w:bottom w:val="single" w:sz="4" w:space="0" w:color="auto"/>
              <w:right w:val="nil"/>
            </w:tcBorders>
            <w:vAlign w:val="center"/>
          </w:tcPr>
          <w:p w14:paraId="6582006D" w14:textId="77777777" w:rsidR="00B66664" w:rsidRDefault="00264D9A">
            <w:pPr>
              <w:ind w:firstLineChars="0" w:firstLine="0"/>
              <w:jc w:val="center"/>
              <w:rPr>
                <w:sz w:val="24"/>
              </w:rPr>
            </w:pPr>
            <w:r>
              <w:rPr>
                <w:rFonts w:hAnsiTheme="minorEastAsia"/>
                <w:sz w:val="24"/>
              </w:rPr>
              <w:t>添加量</w:t>
            </w:r>
            <w:r>
              <w:rPr>
                <w:rFonts w:hAnsiTheme="minorEastAsia"/>
                <w:sz w:val="24"/>
              </w:rPr>
              <w:t>/mg</w:t>
            </w:r>
          </w:p>
        </w:tc>
        <w:tc>
          <w:tcPr>
            <w:tcW w:w="1134" w:type="dxa"/>
            <w:tcBorders>
              <w:top w:val="single" w:sz="4" w:space="0" w:color="auto"/>
              <w:left w:val="nil"/>
              <w:bottom w:val="single" w:sz="4" w:space="0" w:color="auto"/>
              <w:right w:val="nil"/>
            </w:tcBorders>
            <w:vAlign w:val="center"/>
          </w:tcPr>
          <w:p w14:paraId="475752CD" w14:textId="77777777" w:rsidR="00B66664" w:rsidRDefault="00264D9A">
            <w:pPr>
              <w:ind w:firstLineChars="0" w:firstLine="0"/>
              <w:jc w:val="center"/>
              <w:rPr>
                <w:sz w:val="24"/>
              </w:rPr>
            </w:pPr>
            <w:r>
              <w:rPr>
                <w:rFonts w:hAnsiTheme="minorEastAsia"/>
                <w:sz w:val="24"/>
              </w:rPr>
              <w:t>测定值</w:t>
            </w:r>
            <w:r>
              <w:rPr>
                <w:rFonts w:hAnsiTheme="minorEastAsia"/>
                <w:sz w:val="24"/>
              </w:rPr>
              <w:t>/mg</w:t>
            </w:r>
          </w:p>
        </w:tc>
        <w:tc>
          <w:tcPr>
            <w:tcW w:w="1108" w:type="dxa"/>
            <w:tcBorders>
              <w:top w:val="single" w:sz="4" w:space="0" w:color="auto"/>
              <w:left w:val="nil"/>
              <w:bottom w:val="single" w:sz="4" w:space="0" w:color="auto"/>
              <w:right w:val="nil"/>
            </w:tcBorders>
            <w:vAlign w:val="center"/>
          </w:tcPr>
          <w:p w14:paraId="7C107050" w14:textId="77777777" w:rsidR="00B66664" w:rsidRDefault="00264D9A">
            <w:pPr>
              <w:ind w:firstLineChars="0" w:firstLine="0"/>
              <w:jc w:val="center"/>
              <w:rPr>
                <w:sz w:val="24"/>
              </w:rPr>
            </w:pPr>
            <w:r>
              <w:rPr>
                <w:rFonts w:hAnsiTheme="minorEastAsia"/>
                <w:sz w:val="24"/>
              </w:rPr>
              <w:t>添加量</w:t>
            </w:r>
            <w:r>
              <w:rPr>
                <w:rFonts w:hAnsiTheme="minorEastAsia"/>
                <w:sz w:val="24"/>
              </w:rPr>
              <w:t>/mg</w:t>
            </w:r>
          </w:p>
        </w:tc>
        <w:tc>
          <w:tcPr>
            <w:tcW w:w="1152" w:type="dxa"/>
            <w:tcBorders>
              <w:top w:val="single" w:sz="4" w:space="0" w:color="auto"/>
              <w:left w:val="nil"/>
              <w:bottom w:val="single" w:sz="4" w:space="0" w:color="auto"/>
              <w:right w:val="nil"/>
            </w:tcBorders>
            <w:vAlign w:val="center"/>
          </w:tcPr>
          <w:p w14:paraId="1DB1B835" w14:textId="77777777" w:rsidR="00B66664" w:rsidRDefault="00264D9A">
            <w:pPr>
              <w:ind w:firstLineChars="0" w:firstLine="0"/>
              <w:jc w:val="center"/>
              <w:rPr>
                <w:sz w:val="24"/>
              </w:rPr>
            </w:pPr>
            <w:r>
              <w:rPr>
                <w:rFonts w:hAnsiTheme="minorEastAsia"/>
                <w:sz w:val="24"/>
              </w:rPr>
              <w:t>测定值</w:t>
            </w:r>
            <w:r>
              <w:rPr>
                <w:rFonts w:hAnsiTheme="minorEastAsia"/>
                <w:sz w:val="24"/>
              </w:rPr>
              <w:t>/mg</w:t>
            </w:r>
          </w:p>
        </w:tc>
      </w:tr>
      <w:tr w:rsidR="00B66664" w14:paraId="4163D23D" w14:textId="77777777">
        <w:trPr>
          <w:trHeight w:val="562"/>
          <w:jc w:val="center"/>
        </w:trPr>
        <w:tc>
          <w:tcPr>
            <w:tcW w:w="1276" w:type="dxa"/>
            <w:tcBorders>
              <w:top w:val="single" w:sz="4" w:space="0" w:color="auto"/>
              <w:left w:val="nil"/>
              <w:bottom w:val="single" w:sz="4" w:space="0" w:color="auto"/>
              <w:right w:val="nil"/>
            </w:tcBorders>
            <w:vAlign w:val="center"/>
          </w:tcPr>
          <w:p w14:paraId="51280F2C" w14:textId="77777777" w:rsidR="00B66664" w:rsidRDefault="00264D9A">
            <w:pPr>
              <w:ind w:firstLineChars="0" w:firstLine="0"/>
              <w:jc w:val="center"/>
              <w:rPr>
                <w:sz w:val="24"/>
              </w:rPr>
            </w:pPr>
            <w:r>
              <w:rPr>
                <w:sz w:val="24"/>
              </w:rPr>
              <w:t>1</w:t>
            </w:r>
          </w:p>
        </w:tc>
        <w:tc>
          <w:tcPr>
            <w:tcW w:w="1134" w:type="dxa"/>
            <w:vMerge w:val="restart"/>
            <w:tcBorders>
              <w:top w:val="single" w:sz="4" w:space="0" w:color="auto"/>
              <w:left w:val="nil"/>
              <w:bottom w:val="single" w:sz="4" w:space="0" w:color="auto"/>
              <w:right w:val="nil"/>
            </w:tcBorders>
            <w:vAlign w:val="center"/>
          </w:tcPr>
          <w:p w14:paraId="08DAE56D" w14:textId="77777777" w:rsidR="00B66664" w:rsidRDefault="00264D9A">
            <w:pPr>
              <w:ind w:firstLineChars="0" w:firstLine="0"/>
              <w:jc w:val="center"/>
              <w:rPr>
                <w:sz w:val="24"/>
              </w:rPr>
            </w:pPr>
            <w:r>
              <w:rPr>
                <w:rFonts w:hint="eastAsia"/>
                <w:sz w:val="24"/>
              </w:rPr>
              <w:t>0.1</w:t>
            </w:r>
          </w:p>
        </w:tc>
        <w:tc>
          <w:tcPr>
            <w:tcW w:w="1275" w:type="dxa"/>
            <w:tcBorders>
              <w:top w:val="single" w:sz="4" w:space="0" w:color="auto"/>
              <w:left w:val="nil"/>
              <w:bottom w:val="single" w:sz="4" w:space="0" w:color="auto"/>
              <w:right w:val="nil"/>
            </w:tcBorders>
            <w:vAlign w:val="center"/>
          </w:tcPr>
          <w:p w14:paraId="50A0434A" w14:textId="77777777" w:rsidR="00B66664" w:rsidRDefault="00264D9A">
            <w:pPr>
              <w:ind w:firstLineChars="0" w:firstLine="0"/>
              <w:jc w:val="center"/>
              <w:rPr>
                <w:rFonts w:ascii="宋体" w:hAnsi="宋体" w:cs="宋体"/>
                <w:color w:val="000000"/>
                <w:sz w:val="22"/>
                <w:szCs w:val="22"/>
              </w:rPr>
            </w:pPr>
            <w:r>
              <w:rPr>
                <w:rFonts w:hint="eastAsia"/>
                <w:color w:val="000000"/>
                <w:sz w:val="22"/>
                <w:szCs w:val="22"/>
              </w:rPr>
              <w:t>0.0802</w:t>
            </w:r>
          </w:p>
        </w:tc>
        <w:tc>
          <w:tcPr>
            <w:tcW w:w="1134" w:type="dxa"/>
            <w:vMerge w:val="restart"/>
            <w:tcBorders>
              <w:top w:val="single" w:sz="4" w:space="0" w:color="auto"/>
              <w:left w:val="nil"/>
              <w:bottom w:val="single" w:sz="4" w:space="0" w:color="auto"/>
              <w:right w:val="nil"/>
            </w:tcBorders>
            <w:vAlign w:val="center"/>
          </w:tcPr>
          <w:p w14:paraId="2F424CAB" w14:textId="77777777" w:rsidR="00B66664" w:rsidRDefault="00264D9A">
            <w:pPr>
              <w:ind w:firstLineChars="0" w:firstLine="0"/>
              <w:jc w:val="center"/>
              <w:rPr>
                <w:sz w:val="24"/>
              </w:rPr>
            </w:pPr>
            <w:r>
              <w:rPr>
                <w:rFonts w:hint="eastAsia"/>
                <w:sz w:val="24"/>
              </w:rPr>
              <w:t>0.5</w:t>
            </w:r>
          </w:p>
        </w:tc>
        <w:tc>
          <w:tcPr>
            <w:tcW w:w="1134" w:type="dxa"/>
            <w:tcBorders>
              <w:top w:val="single" w:sz="4" w:space="0" w:color="auto"/>
              <w:left w:val="nil"/>
              <w:bottom w:val="single" w:sz="4" w:space="0" w:color="auto"/>
              <w:right w:val="nil"/>
            </w:tcBorders>
            <w:vAlign w:val="center"/>
          </w:tcPr>
          <w:p w14:paraId="1D840D59" w14:textId="77777777" w:rsidR="00B66664" w:rsidRDefault="00264D9A">
            <w:pPr>
              <w:ind w:firstLineChars="0" w:firstLine="0"/>
              <w:jc w:val="center"/>
              <w:rPr>
                <w:rFonts w:ascii="宋体" w:hAnsi="宋体" w:cs="宋体"/>
                <w:color w:val="000000"/>
                <w:sz w:val="22"/>
                <w:szCs w:val="22"/>
              </w:rPr>
            </w:pPr>
            <w:r>
              <w:rPr>
                <w:rFonts w:hint="eastAsia"/>
                <w:color w:val="000000"/>
                <w:sz w:val="22"/>
                <w:szCs w:val="22"/>
              </w:rPr>
              <w:t>0.5079</w:t>
            </w:r>
          </w:p>
        </w:tc>
        <w:tc>
          <w:tcPr>
            <w:tcW w:w="1108" w:type="dxa"/>
            <w:vMerge w:val="restart"/>
            <w:tcBorders>
              <w:top w:val="single" w:sz="4" w:space="0" w:color="auto"/>
              <w:left w:val="nil"/>
              <w:bottom w:val="single" w:sz="4" w:space="0" w:color="auto"/>
              <w:right w:val="nil"/>
            </w:tcBorders>
            <w:vAlign w:val="center"/>
          </w:tcPr>
          <w:p w14:paraId="6E00BEE9" w14:textId="77777777" w:rsidR="00B66664" w:rsidRDefault="00264D9A">
            <w:pPr>
              <w:ind w:firstLineChars="0" w:firstLine="0"/>
              <w:jc w:val="center"/>
              <w:rPr>
                <w:sz w:val="24"/>
              </w:rPr>
            </w:pPr>
            <w:r>
              <w:rPr>
                <w:rFonts w:hint="eastAsia"/>
                <w:sz w:val="24"/>
              </w:rPr>
              <w:t>1</w:t>
            </w:r>
          </w:p>
        </w:tc>
        <w:tc>
          <w:tcPr>
            <w:tcW w:w="1152" w:type="dxa"/>
            <w:tcBorders>
              <w:top w:val="single" w:sz="4" w:space="0" w:color="auto"/>
              <w:left w:val="nil"/>
              <w:bottom w:val="single" w:sz="4" w:space="0" w:color="auto"/>
              <w:right w:val="nil"/>
            </w:tcBorders>
            <w:vAlign w:val="center"/>
          </w:tcPr>
          <w:p w14:paraId="2DA8D799" w14:textId="77777777" w:rsidR="00B66664" w:rsidRDefault="00264D9A">
            <w:pPr>
              <w:ind w:firstLineChars="0" w:firstLine="0"/>
              <w:jc w:val="center"/>
              <w:rPr>
                <w:rFonts w:ascii="宋体" w:hAnsi="宋体" w:cs="宋体"/>
                <w:color w:val="000000"/>
                <w:sz w:val="22"/>
                <w:szCs w:val="22"/>
              </w:rPr>
            </w:pPr>
            <w:r>
              <w:rPr>
                <w:rFonts w:hint="eastAsia"/>
                <w:color w:val="000000"/>
                <w:sz w:val="22"/>
                <w:szCs w:val="22"/>
              </w:rPr>
              <w:t>0.9826</w:t>
            </w:r>
          </w:p>
        </w:tc>
      </w:tr>
      <w:tr w:rsidR="00B66664" w14:paraId="121445E4" w14:textId="77777777">
        <w:trPr>
          <w:trHeight w:val="540"/>
          <w:jc w:val="center"/>
        </w:trPr>
        <w:tc>
          <w:tcPr>
            <w:tcW w:w="1276" w:type="dxa"/>
            <w:tcBorders>
              <w:top w:val="single" w:sz="4" w:space="0" w:color="auto"/>
              <w:left w:val="nil"/>
              <w:bottom w:val="single" w:sz="4" w:space="0" w:color="auto"/>
              <w:right w:val="nil"/>
            </w:tcBorders>
            <w:vAlign w:val="center"/>
          </w:tcPr>
          <w:p w14:paraId="2D8536D8" w14:textId="77777777" w:rsidR="00B66664" w:rsidRDefault="00264D9A">
            <w:pPr>
              <w:ind w:firstLineChars="0" w:firstLine="0"/>
              <w:jc w:val="center"/>
              <w:rPr>
                <w:sz w:val="24"/>
              </w:rPr>
            </w:pPr>
            <w:r>
              <w:rPr>
                <w:sz w:val="24"/>
              </w:rPr>
              <w:t>2</w:t>
            </w:r>
          </w:p>
        </w:tc>
        <w:tc>
          <w:tcPr>
            <w:tcW w:w="1134" w:type="dxa"/>
            <w:vMerge/>
            <w:tcBorders>
              <w:top w:val="single" w:sz="4" w:space="0" w:color="auto"/>
              <w:left w:val="nil"/>
              <w:bottom w:val="single" w:sz="4" w:space="0" w:color="auto"/>
              <w:right w:val="nil"/>
            </w:tcBorders>
            <w:vAlign w:val="center"/>
          </w:tcPr>
          <w:p w14:paraId="6A95B749" w14:textId="77777777" w:rsidR="00B66664" w:rsidRDefault="00B66664">
            <w:pPr>
              <w:ind w:firstLineChars="0" w:firstLine="0"/>
              <w:jc w:val="center"/>
              <w:rPr>
                <w:sz w:val="24"/>
              </w:rPr>
            </w:pPr>
          </w:p>
        </w:tc>
        <w:tc>
          <w:tcPr>
            <w:tcW w:w="1275" w:type="dxa"/>
            <w:tcBorders>
              <w:top w:val="single" w:sz="4" w:space="0" w:color="auto"/>
              <w:left w:val="nil"/>
              <w:bottom w:val="single" w:sz="4" w:space="0" w:color="auto"/>
              <w:right w:val="nil"/>
            </w:tcBorders>
            <w:vAlign w:val="center"/>
          </w:tcPr>
          <w:p w14:paraId="0CA55BEA" w14:textId="77777777" w:rsidR="00B66664" w:rsidRDefault="00264D9A">
            <w:pPr>
              <w:ind w:firstLineChars="0" w:firstLine="0"/>
              <w:jc w:val="center"/>
              <w:rPr>
                <w:rFonts w:ascii="宋体" w:hAnsi="宋体" w:cs="宋体"/>
                <w:color w:val="000000"/>
                <w:sz w:val="22"/>
                <w:szCs w:val="22"/>
              </w:rPr>
            </w:pPr>
            <w:r>
              <w:rPr>
                <w:rFonts w:hint="eastAsia"/>
                <w:color w:val="000000"/>
                <w:sz w:val="22"/>
                <w:szCs w:val="22"/>
              </w:rPr>
              <w:t>0.0802</w:t>
            </w:r>
          </w:p>
        </w:tc>
        <w:tc>
          <w:tcPr>
            <w:tcW w:w="1134" w:type="dxa"/>
            <w:vMerge/>
            <w:tcBorders>
              <w:top w:val="single" w:sz="4" w:space="0" w:color="auto"/>
              <w:left w:val="nil"/>
              <w:bottom w:val="single" w:sz="4" w:space="0" w:color="auto"/>
              <w:right w:val="nil"/>
            </w:tcBorders>
            <w:vAlign w:val="center"/>
          </w:tcPr>
          <w:p w14:paraId="3EC3E52B" w14:textId="77777777" w:rsidR="00B66664" w:rsidRDefault="00B66664">
            <w:pPr>
              <w:ind w:firstLineChars="0" w:firstLine="0"/>
              <w:jc w:val="center"/>
              <w:rPr>
                <w:sz w:val="24"/>
              </w:rPr>
            </w:pPr>
          </w:p>
        </w:tc>
        <w:tc>
          <w:tcPr>
            <w:tcW w:w="1134" w:type="dxa"/>
            <w:tcBorders>
              <w:top w:val="single" w:sz="4" w:space="0" w:color="auto"/>
              <w:left w:val="nil"/>
              <w:bottom w:val="single" w:sz="4" w:space="0" w:color="auto"/>
              <w:right w:val="nil"/>
            </w:tcBorders>
            <w:vAlign w:val="center"/>
          </w:tcPr>
          <w:p w14:paraId="7C3B6F32" w14:textId="77777777" w:rsidR="00B66664" w:rsidRDefault="00264D9A">
            <w:pPr>
              <w:ind w:firstLineChars="0" w:firstLine="0"/>
              <w:jc w:val="center"/>
              <w:rPr>
                <w:rFonts w:ascii="宋体" w:hAnsi="宋体" w:cs="宋体"/>
                <w:color w:val="000000"/>
                <w:sz w:val="22"/>
                <w:szCs w:val="22"/>
              </w:rPr>
            </w:pPr>
            <w:r>
              <w:rPr>
                <w:rFonts w:hint="eastAsia"/>
                <w:color w:val="000000"/>
                <w:sz w:val="22"/>
                <w:szCs w:val="22"/>
              </w:rPr>
              <w:t>0.4972</w:t>
            </w:r>
          </w:p>
        </w:tc>
        <w:tc>
          <w:tcPr>
            <w:tcW w:w="1108" w:type="dxa"/>
            <w:vMerge/>
            <w:tcBorders>
              <w:top w:val="single" w:sz="4" w:space="0" w:color="auto"/>
              <w:left w:val="nil"/>
              <w:bottom w:val="single" w:sz="4" w:space="0" w:color="auto"/>
              <w:right w:val="nil"/>
            </w:tcBorders>
            <w:vAlign w:val="center"/>
          </w:tcPr>
          <w:p w14:paraId="0F25C36F" w14:textId="77777777" w:rsidR="00B66664" w:rsidRDefault="00B66664">
            <w:pPr>
              <w:ind w:firstLineChars="0" w:firstLine="0"/>
              <w:jc w:val="center"/>
              <w:rPr>
                <w:sz w:val="24"/>
              </w:rPr>
            </w:pPr>
          </w:p>
        </w:tc>
        <w:tc>
          <w:tcPr>
            <w:tcW w:w="1152" w:type="dxa"/>
            <w:tcBorders>
              <w:top w:val="single" w:sz="4" w:space="0" w:color="auto"/>
              <w:left w:val="nil"/>
              <w:bottom w:val="single" w:sz="4" w:space="0" w:color="auto"/>
              <w:right w:val="nil"/>
            </w:tcBorders>
            <w:vAlign w:val="center"/>
          </w:tcPr>
          <w:p w14:paraId="36C72CF3" w14:textId="77777777" w:rsidR="00B66664" w:rsidRDefault="00264D9A">
            <w:pPr>
              <w:ind w:firstLineChars="0" w:firstLine="0"/>
              <w:jc w:val="center"/>
              <w:rPr>
                <w:rFonts w:ascii="宋体" w:hAnsi="宋体" w:cs="宋体"/>
                <w:color w:val="000000"/>
                <w:sz w:val="22"/>
                <w:szCs w:val="22"/>
              </w:rPr>
            </w:pPr>
            <w:r>
              <w:rPr>
                <w:rFonts w:hint="eastAsia"/>
                <w:color w:val="000000"/>
                <w:sz w:val="22"/>
                <w:szCs w:val="22"/>
              </w:rPr>
              <w:t>0.9717</w:t>
            </w:r>
          </w:p>
        </w:tc>
      </w:tr>
      <w:tr w:rsidR="00B66664" w14:paraId="23454578" w14:textId="77777777">
        <w:trPr>
          <w:trHeight w:val="564"/>
          <w:jc w:val="center"/>
        </w:trPr>
        <w:tc>
          <w:tcPr>
            <w:tcW w:w="1276" w:type="dxa"/>
            <w:tcBorders>
              <w:top w:val="single" w:sz="4" w:space="0" w:color="auto"/>
              <w:left w:val="nil"/>
              <w:bottom w:val="single" w:sz="4" w:space="0" w:color="auto"/>
              <w:right w:val="nil"/>
            </w:tcBorders>
            <w:vAlign w:val="center"/>
          </w:tcPr>
          <w:p w14:paraId="2EC9E69D" w14:textId="77777777" w:rsidR="00B66664" w:rsidRDefault="00264D9A">
            <w:pPr>
              <w:ind w:firstLineChars="0" w:firstLine="0"/>
              <w:jc w:val="center"/>
              <w:rPr>
                <w:sz w:val="24"/>
              </w:rPr>
            </w:pPr>
            <w:r>
              <w:rPr>
                <w:sz w:val="24"/>
              </w:rPr>
              <w:t>3</w:t>
            </w:r>
          </w:p>
        </w:tc>
        <w:tc>
          <w:tcPr>
            <w:tcW w:w="1134" w:type="dxa"/>
            <w:vMerge/>
            <w:tcBorders>
              <w:top w:val="single" w:sz="4" w:space="0" w:color="auto"/>
              <w:left w:val="nil"/>
              <w:bottom w:val="single" w:sz="4" w:space="0" w:color="auto"/>
              <w:right w:val="nil"/>
            </w:tcBorders>
            <w:vAlign w:val="center"/>
          </w:tcPr>
          <w:p w14:paraId="12A0E403" w14:textId="77777777" w:rsidR="00B66664" w:rsidRDefault="00B66664">
            <w:pPr>
              <w:ind w:firstLineChars="0" w:firstLine="0"/>
              <w:jc w:val="center"/>
              <w:rPr>
                <w:sz w:val="24"/>
              </w:rPr>
            </w:pPr>
          </w:p>
        </w:tc>
        <w:tc>
          <w:tcPr>
            <w:tcW w:w="1275" w:type="dxa"/>
            <w:tcBorders>
              <w:top w:val="single" w:sz="4" w:space="0" w:color="auto"/>
              <w:left w:val="nil"/>
              <w:bottom w:val="single" w:sz="4" w:space="0" w:color="auto"/>
              <w:right w:val="nil"/>
            </w:tcBorders>
            <w:vAlign w:val="center"/>
          </w:tcPr>
          <w:p w14:paraId="41580BCD" w14:textId="77777777" w:rsidR="00B66664" w:rsidRDefault="00264D9A">
            <w:pPr>
              <w:ind w:firstLineChars="0" w:firstLine="0"/>
              <w:jc w:val="center"/>
              <w:rPr>
                <w:rFonts w:ascii="宋体" w:hAnsi="宋体" w:cs="宋体"/>
                <w:color w:val="000000"/>
                <w:sz w:val="22"/>
                <w:szCs w:val="22"/>
              </w:rPr>
            </w:pPr>
            <w:r>
              <w:rPr>
                <w:rFonts w:hint="eastAsia"/>
                <w:color w:val="000000"/>
                <w:sz w:val="22"/>
                <w:szCs w:val="22"/>
              </w:rPr>
              <w:t>0.0861</w:t>
            </w:r>
          </w:p>
        </w:tc>
        <w:tc>
          <w:tcPr>
            <w:tcW w:w="1134" w:type="dxa"/>
            <w:vMerge/>
            <w:tcBorders>
              <w:top w:val="single" w:sz="4" w:space="0" w:color="auto"/>
              <w:left w:val="nil"/>
              <w:bottom w:val="single" w:sz="4" w:space="0" w:color="auto"/>
              <w:right w:val="nil"/>
            </w:tcBorders>
            <w:vAlign w:val="center"/>
          </w:tcPr>
          <w:p w14:paraId="69C9809A" w14:textId="77777777" w:rsidR="00B66664" w:rsidRDefault="00B66664">
            <w:pPr>
              <w:ind w:firstLineChars="0" w:firstLine="0"/>
              <w:jc w:val="center"/>
              <w:rPr>
                <w:sz w:val="24"/>
              </w:rPr>
            </w:pPr>
          </w:p>
        </w:tc>
        <w:tc>
          <w:tcPr>
            <w:tcW w:w="1134" w:type="dxa"/>
            <w:tcBorders>
              <w:top w:val="single" w:sz="4" w:space="0" w:color="auto"/>
              <w:left w:val="nil"/>
              <w:bottom w:val="single" w:sz="4" w:space="0" w:color="auto"/>
              <w:right w:val="nil"/>
            </w:tcBorders>
            <w:vAlign w:val="center"/>
          </w:tcPr>
          <w:p w14:paraId="72577892" w14:textId="77777777" w:rsidR="00B66664" w:rsidRDefault="00264D9A">
            <w:pPr>
              <w:ind w:firstLineChars="0" w:firstLine="0"/>
              <w:jc w:val="center"/>
              <w:rPr>
                <w:rFonts w:ascii="宋体" w:hAnsi="宋体" w:cs="宋体"/>
                <w:color w:val="000000"/>
                <w:sz w:val="22"/>
                <w:szCs w:val="22"/>
              </w:rPr>
            </w:pPr>
            <w:r>
              <w:rPr>
                <w:rFonts w:hint="eastAsia"/>
                <w:color w:val="000000"/>
                <w:sz w:val="22"/>
                <w:szCs w:val="22"/>
              </w:rPr>
              <w:t>0.4876</w:t>
            </w:r>
          </w:p>
        </w:tc>
        <w:tc>
          <w:tcPr>
            <w:tcW w:w="1108" w:type="dxa"/>
            <w:vMerge/>
            <w:tcBorders>
              <w:top w:val="single" w:sz="4" w:space="0" w:color="auto"/>
              <w:left w:val="nil"/>
              <w:bottom w:val="single" w:sz="4" w:space="0" w:color="auto"/>
              <w:right w:val="nil"/>
            </w:tcBorders>
            <w:vAlign w:val="center"/>
          </w:tcPr>
          <w:p w14:paraId="20B97712" w14:textId="77777777" w:rsidR="00B66664" w:rsidRDefault="00B66664">
            <w:pPr>
              <w:ind w:firstLineChars="0" w:firstLine="0"/>
              <w:jc w:val="center"/>
              <w:rPr>
                <w:sz w:val="24"/>
              </w:rPr>
            </w:pPr>
          </w:p>
        </w:tc>
        <w:tc>
          <w:tcPr>
            <w:tcW w:w="1152" w:type="dxa"/>
            <w:tcBorders>
              <w:top w:val="single" w:sz="4" w:space="0" w:color="auto"/>
              <w:left w:val="nil"/>
              <w:bottom w:val="single" w:sz="4" w:space="0" w:color="auto"/>
              <w:right w:val="nil"/>
            </w:tcBorders>
            <w:vAlign w:val="center"/>
          </w:tcPr>
          <w:p w14:paraId="0619B519" w14:textId="77777777" w:rsidR="00B66664" w:rsidRDefault="00264D9A">
            <w:pPr>
              <w:ind w:firstLineChars="0" w:firstLine="0"/>
              <w:jc w:val="center"/>
              <w:rPr>
                <w:rFonts w:ascii="宋体" w:hAnsi="宋体" w:cs="宋体"/>
                <w:color w:val="000000"/>
                <w:sz w:val="22"/>
                <w:szCs w:val="22"/>
              </w:rPr>
            </w:pPr>
            <w:r>
              <w:rPr>
                <w:rFonts w:hint="eastAsia"/>
                <w:color w:val="000000"/>
                <w:sz w:val="22"/>
                <w:szCs w:val="22"/>
              </w:rPr>
              <w:t>0.9715</w:t>
            </w:r>
          </w:p>
        </w:tc>
      </w:tr>
      <w:tr w:rsidR="00B66664" w14:paraId="7C82631C" w14:textId="77777777">
        <w:trPr>
          <w:trHeight w:val="558"/>
          <w:jc w:val="center"/>
        </w:trPr>
        <w:tc>
          <w:tcPr>
            <w:tcW w:w="1276" w:type="dxa"/>
            <w:tcBorders>
              <w:top w:val="single" w:sz="4" w:space="0" w:color="auto"/>
              <w:left w:val="nil"/>
              <w:bottom w:val="single" w:sz="4" w:space="0" w:color="auto"/>
              <w:right w:val="nil"/>
            </w:tcBorders>
            <w:vAlign w:val="center"/>
          </w:tcPr>
          <w:p w14:paraId="3386C7B7" w14:textId="77777777" w:rsidR="00B66664" w:rsidRDefault="00264D9A">
            <w:pPr>
              <w:ind w:firstLineChars="0" w:firstLine="0"/>
              <w:jc w:val="center"/>
              <w:rPr>
                <w:sz w:val="24"/>
              </w:rPr>
            </w:pPr>
            <w:r>
              <w:rPr>
                <w:sz w:val="24"/>
              </w:rPr>
              <w:t>4</w:t>
            </w:r>
          </w:p>
        </w:tc>
        <w:tc>
          <w:tcPr>
            <w:tcW w:w="1134" w:type="dxa"/>
            <w:vMerge/>
            <w:tcBorders>
              <w:top w:val="single" w:sz="4" w:space="0" w:color="auto"/>
              <w:left w:val="nil"/>
              <w:bottom w:val="single" w:sz="4" w:space="0" w:color="auto"/>
              <w:right w:val="nil"/>
            </w:tcBorders>
            <w:vAlign w:val="center"/>
          </w:tcPr>
          <w:p w14:paraId="54A87705" w14:textId="77777777" w:rsidR="00B66664" w:rsidRDefault="00B66664">
            <w:pPr>
              <w:ind w:firstLineChars="0" w:firstLine="0"/>
              <w:jc w:val="center"/>
              <w:rPr>
                <w:sz w:val="24"/>
              </w:rPr>
            </w:pPr>
          </w:p>
        </w:tc>
        <w:tc>
          <w:tcPr>
            <w:tcW w:w="1275" w:type="dxa"/>
            <w:tcBorders>
              <w:top w:val="single" w:sz="4" w:space="0" w:color="auto"/>
              <w:left w:val="nil"/>
              <w:bottom w:val="single" w:sz="4" w:space="0" w:color="auto"/>
              <w:right w:val="nil"/>
            </w:tcBorders>
            <w:vAlign w:val="center"/>
          </w:tcPr>
          <w:p w14:paraId="5DEAD5DA" w14:textId="77777777" w:rsidR="00B66664" w:rsidRDefault="00264D9A">
            <w:pPr>
              <w:ind w:firstLineChars="0" w:firstLine="0"/>
              <w:jc w:val="center"/>
              <w:rPr>
                <w:rFonts w:ascii="宋体" w:hAnsi="宋体" w:cs="宋体"/>
                <w:color w:val="000000"/>
                <w:sz w:val="22"/>
                <w:szCs w:val="22"/>
              </w:rPr>
            </w:pPr>
            <w:r>
              <w:rPr>
                <w:rFonts w:hint="eastAsia"/>
                <w:color w:val="000000"/>
                <w:sz w:val="22"/>
                <w:szCs w:val="22"/>
              </w:rPr>
              <w:t>0.0807</w:t>
            </w:r>
          </w:p>
        </w:tc>
        <w:tc>
          <w:tcPr>
            <w:tcW w:w="1134" w:type="dxa"/>
            <w:vMerge/>
            <w:tcBorders>
              <w:top w:val="single" w:sz="4" w:space="0" w:color="auto"/>
              <w:left w:val="nil"/>
              <w:bottom w:val="single" w:sz="4" w:space="0" w:color="auto"/>
              <w:right w:val="nil"/>
            </w:tcBorders>
            <w:vAlign w:val="center"/>
          </w:tcPr>
          <w:p w14:paraId="151B00A3" w14:textId="77777777" w:rsidR="00B66664" w:rsidRDefault="00B66664">
            <w:pPr>
              <w:ind w:firstLineChars="0" w:firstLine="0"/>
              <w:jc w:val="center"/>
              <w:rPr>
                <w:sz w:val="24"/>
              </w:rPr>
            </w:pPr>
          </w:p>
        </w:tc>
        <w:tc>
          <w:tcPr>
            <w:tcW w:w="1134" w:type="dxa"/>
            <w:tcBorders>
              <w:top w:val="single" w:sz="4" w:space="0" w:color="auto"/>
              <w:left w:val="nil"/>
              <w:bottom w:val="single" w:sz="4" w:space="0" w:color="auto"/>
              <w:right w:val="nil"/>
            </w:tcBorders>
            <w:vAlign w:val="center"/>
          </w:tcPr>
          <w:p w14:paraId="47F42B08" w14:textId="77777777" w:rsidR="00B66664" w:rsidRDefault="00264D9A">
            <w:pPr>
              <w:ind w:firstLineChars="0" w:firstLine="0"/>
              <w:jc w:val="center"/>
              <w:rPr>
                <w:rFonts w:ascii="宋体" w:hAnsi="宋体" w:cs="宋体"/>
                <w:color w:val="000000"/>
                <w:sz w:val="22"/>
                <w:szCs w:val="22"/>
              </w:rPr>
            </w:pPr>
            <w:r>
              <w:rPr>
                <w:rFonts w:hint="eastAsia"/>
                <w:color w:val="000000"/>
                <w:sz w:val="22"/>
                <w:szCs w:val="22"/>
              </w:rPr>
              <w:t>0.4955</w:t>
            </w:r>
          </w:p>
        </w:tc>
        <w:tc>
          <w:tcPr>
            <w:tcW w:w="1108" w:type="dxa"/>
            <w:vMerge/>
            <w:tcBorders>
              <w:top w:val="single" w:sz="4" w:space="0" w:color="auto"/>
              <w:left w:val="nil"/>
              <w:bottom w:val="single" w:sz="4" w:space="0" w:color="auto"/>
              <w:right w:val="nil"/>
            </w:tcBorders>
            <w:vAlign w:val="center"/>
          </w:tcPr>
          <w:p w14:paraId="7D23A61F" w14:textId="77777777" w:rsidR="00B66664" w:rsidRDefault="00B66664">
            <w:pPr>
              <w:ind w:firstLineChars="0" w:firstLine="0"/>
              <w:jc w:val="center"/>
              <w:rPr>
                <w:sz w:val="24"/>
              </w:rPr>
            </w:pPr>
          </w:p>
        </w:tc>
        <w:tc>
          <w:tcPr>
            <w:tcW w:w="1152" w:type="dxa"/>
            <w:tcBorders>
              <w:top w:val="single" w:sz="4" w:space="0" w:color="auto"/>
              <w:left w:val="nil"/>
              <w:bottom w:val="single" w:sz="4" w:space="0" w:color="auto"/>
              <w:right w:val="nil"/>
            </w:tcBorders>
            <w:vAlign w:val="center"/>
          </w:tcPr>
          <w:p w14:paraId="5BA8F9C2" w14:textId="77777777" w:rsidR="00B66664" w:rsidRDefault="00264D9A">
            <w:pPr>
              <w:ind w:firstLineChars="0" w:firstLine="0"/>
              <w:jc w:val="center"/>
              <w:rPr>
                <w:rFonts w:ascii="宋体" w:hAnsi="宋体" w:cs="宋体"/>
                <w:color w:val="000000"/>
                <w:sz w:val="22"/>
                <w:szCs w:val="22"/>
              </w:rPr>
            </w:pPr>
            <w:r>
              <w:rPr>
                <w:rFonts w:hint="eastAsia"/>
                <w:color w:val="000000"/>
                <w:sz w:val="22"/>
                <w:szCs w:val="22"/>
              </w:rPr>
              <w:t>0.9700</w:t>
            </w:r>
          </w:p>
        </w:tc>
      </w:tr>
      <w:tr w:rsidR="00B66664" w14:paraId="247AAC1A" w14:textId="77777777">
        <w:trPr>
          <w:trHeight w:val="558"/>
          <w:jc w:val="center"/>
        </w:trPr>
        <w:tc>
          <w:tcPr>
            <w:tcW w:w="1276" w:type="dxa"/>
            <w:tcBorders>
              <w:top w:val="single" w:sz="4" w:space="0" w:color="auto"/>
              <w:left w:val="nil"/>
              <w:bottom w:val="single" w:sz="4" w:space="0" w:color="auto"/>
              <w:right w:val="nil"/>
            </w:tcBorders>
            <w:vAlign w:val="center"/>
          </w:tcPr>
          <w:p w14:paraId="31212EFF" w14:textId="77777777" w:rsidR="00B66664" w:rsidRDefault="00264D9A">
            <w:pPr>
              <w:ind w:firstLineChars="0" w:firstLine="0"/>
              <w:jc w:val="center"/>
              <w:rPr>
                <w:sz w:val="24"/>
              </w:rPr>
            </w:pPr>
            <w:r>
              <w:rPr>
                <w:sz w:val="24"/>
              </w:rPr>
              <w:t>5</w:t>
            </w:r>
          </w:p>
        </w:tc>
        <w:tc>
          <w:tcPr>
            <w:tcW w:w="1134" w:type="dxa"/>
            <w:vMerge/>
            <w:tcBorders>
              <w:top w:val="single" w:sz="4" w:space="0" w:color="auto"/>
              <w:left w:val="nil"/>
              <w:bottom w:val="single" w:sz="4" w:space="0" w:color="auto"/>
              <w:right w:val="nil"/>
            </w:tcBorders>
            <w:vAlign w:val="center"/>
          </w:tcPr>
          <w:p w14:paraId="6114AFFF" w14:textId="77777777" w:rsidR="00B66664" w:rsidRDefault="00B66664">
            <w:pPr>
              <w:ind w:firstLineChars="0" w:firstLine="0"/>
              <w:jc w:val="center"/>
              <w:rPr>
                <w:sz w:val="24"/>
              </w:rPr>
            </w:pPr>
          </w:p>
        </w:tc>
        <w:tc>
          <w:tcPr>
            <w:tcW w:w="1275" w:type="dxa"/>
            <w:tcBorders>
              <w:top w:val="single" w:sz="4" w:space="0" w:color="auto"/>
              <w:left w:val="nil"/>
              <w:bottom w:val="single" w:sz="4" w:space="0" w:color="auto"/>
              <w:right w:val="nil"/>
            </w:tcBorders>
            <w:vAlign w:val="center"/>
          </w:tcPr>
          <w:p w14:paraId="71B0AECA" w14:textId="77777777" w:rsidR="00B66664" w:rsidRDefault="00264D9A">
            <w:pPr>
              <w:ind w:firstLineChars="0" w:firstLine="0"/>
              <w:jc w:val="center"/>
              <w:rPr>
                <w:rFonts w:ascii="宋体" w:hAnsi="宋体" w:cs="宋体"/>
                <w:color w:val="000000"/>
                <w:sz w:val="22"/>
                <w:szCs w:val="22"/>
              </w:rPr>
            </w:pPr>
            <w:r>
              <w:rPr>
                <w:rFonts w:hint="eastAsia"/>
                <w:color w:val="000000"/>
                <w:sz w:val="22"/>
                <w:szCs w:val="22"/>
              </w:rPr>
              <w:t>0.0866</w:t>
            </w:r>
          </w:p>
        </w:tc>
        <w:tc>
          <w:tcPr>
            <w:tcW w:w="1134" w:type="dxa"/>
            <w:vMerge/>
            <w:tcBorders>
              <w:top w:val="single" w:sz="4" w:space="0" w:color="auto"/>
              <w:left w:val="nil"/>
              <w:bottom w:val="single" w:sz="4" w:space="0" w:color="auto"/>
              <w:right w:val="nil"/>
            </w:tcBorders>
            <w:vAlign w:val="center"/>
          </w:tcPr>
          <w:p w14:paraId="222E5D77" w14:textId="77777777" w:rsidR="00B66664" w:rsidRDefault="00B66664">
            <w:pPr>
              <w:ind w:firstLineChars="0" w:firstLine="0"/>
              <w:jc w:val="center"/>
              <w:rPr>
                <w:sz w:val="24"/>
              </w:rPr>
            </w:pPr>
          </w:p>
        </w:tc>
        <w:tc>
          <w:tcPr>
            <w:tcW w:w="1134" w:type="dxa"/>
            <w:tcBorders>
              <w:top w:val="single" w:sz="4" w:space="0" w:color="auto"/>
              <w:left w:val="nil"/>
              <w:bottom w:val="single" w:sz="4" w:space="0" w:color="auto"/>
              <w:right w:val="nil"/>
            </w:tcBorders>
            <w:vAlign w:val="center"/>
          </w:tcPr>
          <w:p w14:paraId="67C46F3A" w14:textId="77777777" w:rsidR="00B66664" w:rsidRDefault="00264D9A">
            <w:pPr>
              <w:ind w:firstLineChars="0" w:firstLine="0"/>
              <w:jc w:val="center"/>
              <w:rPr>
                <w:rFonts w:ascii="宋体" w:hAnsi="宋体" w:cs="宋体"/>
                <w:color w:val="000000"/>
                <w:sz w:val="22"/>
                <w:szCs w:val="22"/>
              </w:rPr>
            </w:pPr>
            <w:r>
              <w:rPr>
                <w:rFonts w:hint="eastAsia"/>
                <w:color w:val="000000"/>
                <w:sz w:val="22"/>
                <w:szCs w:val="22"/>
              </w:rPr>
              <w:t>0.4544</w:t>
            </w:r>
          </w:p>
        </w:tc>
        <w:tc>
          <w:tcPr>
            <w:tcW w:w="1108" w:type="dxa"/>
            <w:vMerge/>
            <w:tcBorders>
              <w:top w:val="single" w:sz="4" w:space="0" w:color="auto"/>
              <w:left w:val="nil"/>
              <w:bottom w:val="single" w:sz="4" w:space="0" w:color="auto"/>
              <w:right w:val="nil"/>
            </w:tcBorders>
            <w:vAlign w:val="center"/>
          </w:tcPr>
          <w:p w14:paraId="75EBEB78" w14:textId="77777777" w:rsidR="00B66664" w:rsidRDefault="00B66664">
            <w:pPr>
              <w:ind w:firstLineChars="0" w:firstLine="0"/>
              <w:jc w:val="center"/>
              <w:rPr>
                <w:sz w:val="24"/>
              </w:rPr>
            </w:pPr>
          </w:p>
        </w:tc>
        <w:tc>
          <w:tcPr>
            <w:tcW w:w="1152" w:type="dxa"/>
            <w:tcBorders>
              <w:top w:val="single" w:sz="4" w:space="0" w:color="auto"/>
              <w:left w:val="nil"/>
              <w:bottom w:val="single" w:sz="4" w:space="0" w:color="auto"/>
              <w:right w:val="nil"/>
            </w:tcBorders>
            <w:vAlign w:val="center"/>
          </w:tcPr>
          <w:p w14:paraId="76B54DE8" w14:textId="77777777" w:rsidR="00B66664" w:rsidRDefault="00264D9A">
            <w:pPr>
              <w:ind w:firstLineChars="0" w:firstLine="0"/>
              <w:jc w:val="center"/>
              <w:rPr>
                <w:rFonts w:ascii="宋体" w:hAnsi="宋体" w:cs="宋体"/>
                <w:color w:val="000000"/>
                <w:sz w:val="22"/>
                <w:szCs w:val="22"/>
              </w:rPr>
            </w:pPr>
            <w:r>
              <w:rPr>
                <w:rFonts w:hint="eastAsia"/>
                <w:color w:val="000000"/>
                <w:sz w:val="22"/>
                <w:szCs w:val="22"/>
              </w:rPr>
              <w:t>0.9552</w:t>
            </w:r>
          </w:p>
        </w:tc>
      </w:tr>
      <w:tr w:rsidR="00B66664" w14:paraId="10BBB27A" w14:textId="77777777">
        <w:trPr>
          <w:trHeight w:val="560"/>
          <w:jc w:val="center"/>
        </w:trPr>
        <w:tc>
          <w:tcPr>
            <w:tcW w:w="1276" w:type="dxa"/>
            <w:tcBorders>
              <w:top w:val="single" w:sz="4" w:space="0" w:color="auto"/>
              <w:left w:val="nil"/>
              <w:bottom w:val="single" w:sz="4" w:space="0" w:color="auto"/>
              <w:right w:val="nil"/>
            </w:tcBorders>
            <w:vAlign w:val="center"/>
          </w:tcPr>
          <w:p w14:paraId="11292DCD" w14:textId="77777777" w:rsidR="00B66664" w:rsidRDefault="00264D9A">
            <w:pPr>
              <w:ind w:firstLineChars="0" w:firstLine="0"/>
              <w:jc w:val="center"/>
              <w:rPr>
                <w:sz w:val="24"/>
              </w:rPr>
            </w:pPr>
            <w:r>
              <w:rPr>
                <w:sz w:val="24"/>
              </w:rPr>
              <w:t>6</w:t>
            </w:r>
          </w:p>
        </w:tc>
        <w:tc>
          <w:tcPr>
            <w:tcW w:w="1134" w:type="dxa"/>
            <w:vMerge/>
            <w:tcBorders>
              <w:top w:val="single" w:sz="4" w:space="0" w:color="auto"/>
              <w:left w:val="nil"/>
              <w:bottom w:val="single" w:sz="4" w:space="0" w:color="auto"/>
              <w:right w:val="nil"/>
            </w:tcBorders>
            <w:vAlign w:val="center"/>
          </w:tcPr>
          <w:p w14:paraId="73CEC878" w14:textId="77777777" w:rsidR="00B66664" w:rsidRDefault="00B66664">
            <w:pPr>
              <w:ind w:firstLineChars="0" w:firstLine="0"/>
              <w:jc w:val="center"/>
              <w:rPr>
                <w:sz w:val="24"/>
              </w:rPr>
            </w:pPr>
          </w:p>
        </w:tc>
        <w:tc>
          <w:tcPr>
            <w:tcW w:w="1275" w:type="dxa"/>
            <w:tcBorders>
              <w:top w:val="single" w:sz="4" w:space="0" w:color="auto"/>
              <w:left w:val="nil"/>
              <w:bottom w:val="single" w:sz="4" w:space="0" w:color="auto"/>
              <w:right w:val="nil"/>
            </w:tcBorders>
            <w:vAlign w:val="center"/>
          </w:tcPr>
          <w:p w14:paraId="5EED89DF" w14:textId="77777777" w:rsidR="00B66664" w:rsidRDefault="00264D9A">
            <w:pPr>
              <w:ind w:firstLineChars="0" w:firstLine="0"/>
              <w:jc w:val="center"/>
              <w:rPr>
                <w:rFonts w:ascii="宋体" w:hAnsi="宋体" w:cs="宋体"/>
                <w:color w:val="000000"/>
                <w:sz w:val="22"/>
                <w:szCs w:val="22"/>
              </w:rPr>
            </w:pPr>
            <w:r>
              <w:rPr>
                <w:rFonts w:hint="eastAsia"/>
                <w:color w:val="000000"/>
                <w:sz w:val="22"/>
                <w:szCs w:val="22"/>
              </w:rPr>
              <w:t>0.0868</w:t>
            </w:r>
          </w:p>
        </w:tc>
        <w:tc>
          <w:tcPr>
            <w:tcW w:w="1134" w:type="dxa"/>
            <w:vMerge/>
            <w:tcBorders>
              <w:top w:val="single" w:sz="4" w:space="0" w:color="auto"/>
              <w:left w:val="nil"/>
              <w:bottom w:val="single" w:sz="4" w:space="0" w:color="auto"/>
              <w:right w:val="nil"/>
            </w:tcBorders>
            <w:vAlign w:val="center"/>
          </w:tcPr>
          <w:p w14:paraId="59CF079A" w14:textId="77777777" w:rsidR="00B66664" w:rsidRDefault="00B66664">
            <w:pPr>
              <w:ind w:firstLineChars="0" w:firstLine="0"/>
              <w:jc w:val="center"/>
              <w:rPr>
                <w:sz w:val="24"/>
              </w:rPr>
            </w:pPr>
          </w:p>
        </w:tc>
        <w:tc>
          <w:tcPr>
            <w:tcW w:w="1134" w:type="dxa"/>
            <w:tcBorders>
              <w:top w:val="single" w:sz="4" w:space="0" w:color="auto"/>
              <w:left w:val="nil"/>
              <w:bottom w:val="single" w:sz="4" w:space="0" w:color="auto"/>
              <w:right w:val="nil"/>
            </w:tcBorders>
            <w:vAlign w:val="center"/>
          </w:tcPr>
          <w:p w14:paraId="766385BE" w14:textId="77777777" w:rsidR="00B66664" w:rsidRDefault="00264D9A">
            <w:pPr>
              <w:ind w:firstLineChars="0" w:firstLine="0"/>
              <w:jc w:val="center"/>
              <w:rPr>
                <w:rFonts w:ascii="宋体" w:hAnsi="宋体" w:cs="宋体"/>
                <w:color w:val="000000"/>
                <w:sz w:val="22"/>
                <w:szCs w:val="22"/>
              </w:rPr>
            </w:pPr>
            <w:r>
              <w:rPr>
                <w:rFonts w:hint="eastAsia"/>
                <w:color w:val="000000"/>
                <w:sz w:val="22"/>
                <w:szCs w:val="22"/>
              </w:rPr>
              <w:t>0.4407</w:t>
            </w:r>
          </w:p>
        </w:tc>
        <w:tc>
          <w:tcPr>
            <w:tcW w:w="1108" w:type="dxa"/>
            <w:vMerge/>
            <w:tcBorders>
              <w:top w:val="single" w:sz="4" w:space="0" w:color="auto"/>
              <w:left w:val="nil"/>
              <w:bottom w:val="single" w:sz="4" w:space="0" w:color="auto"/>
              <w:right w:val="nil"/>
            </w:tcBorders>
            <w:vAlign w:val="center"/>
          </w:tcPr>
          <w:p w14:paraId="630ED251" w14:textId="77777777" w:rsidR="00B66664" w:rsidRDefault="00B66664">
            <w:pPr>
              <w:ind w:firstLineChars="0" w:firstLine="0"/>
              <w:jc w:val="center"/>
              <w:rPr>
                <w:sz w:val="24"/>
              </w:rPr>
            </w:pPr>
          </w:p>
        </w:tc>
        <w:tc>
          <w:tcPr>
            <w:tcW w:w="1152" w:type="dxa"/>
            <w:tcBorders>
              <w:top w:val="single" w:sz="4" w:space="0" w:color="auto"/>
              <w:left w:val="nil"/>
              <w:bottom w:val="single" w:sz="4" w:space="0" w:color="auto"/>
              <w:right w:val="nil"/>
            </w:tcBorders>
            <w:vAlign w:val="center"/>
          </w:tcPr>
          <w:p w14:paraId="4AA756D9" w14:textId="77777777" w:rsidR="00B66664" w:rsidRDefault="00264D9A">
            <w:pPr>
              <w:ind w:firstLineChars="0" w:firstLine="0"/>
              <w:jc w:val="center"/>
              <w:rPr>
                <w:rFonts w:ascii="宋体" w:hAnsi="宋体" w:cs="宋体"/>
                <w:color w:val="000000"/>
                <w:sz w:val="22"/>
                <w:szCs w:val="22"/>
              </w:rPr>
            </w:pPr>
            <w:r>
              <w:rPr>
                <w:rFonts w:hint="eastAsia"/>
                <w:color w:val="000000"/>
                <w:sz w:val="22"/>
                <w:szCs w:val="22"/>
              </w:rPr>
              <w:t>0.9743</w:t>
            </w:r>
          </w:p>
        </w:tc>
      </w:tr>
      <w:tr w:rsidR="00B66664" w14:paraId="3D9EA3C4" w14:textId="77777777">
        <w:trPr>
          <w:trHeight w:val="767"/>
          <w:jc w:val="center"/>
        </w:trPr>
        <w:tc>
          <w:tcPr>
            <w:tcW w:w="1276" w:type="dxa"/>
            <w:tcBorders>
              <w:top w:val="single" w:sz="4" w:space="0" w:color="auto"/>
              <w:left w:val="nil"/>
              <w:bottom w:val="single" w:sz="4" w:space="0" w:color="auto"/>
              <w:right w:val="nil"/>
            </w:tcBorders>
            <w:vAlign w:val="center"/>
          </w:tcPr>
          <w:p w14:paraId="0BBABE87" w14:textId="77777777" w:rsidR="00B66664" w:rsidRDefault="00264D9A">
            <w:pPr>
              <w:ind w:firstLineChars="0" w:firstLine="0"/>
              <w:jc w:val="center"/>
              <w:rPr>
                <w:sz w:val="24"/>
              </w:rPr>
            </w:pPr>
            <w:r>
              <w:rPr>
                <w:rFonts w:hAnsiTheme="minorEastAsia"/>
                <w:sz w:val="24"/>
              </w:rPr>
              <w:lastRenderedPageBreak/>
              <w:t>平均</w:t>
            </w:r>
            <w:r>
              <w:rPr>
                <w:sz w:val="24"/>
              </w:rPr>
              <w:t>/mg</w:t>
            </w:r>
          </w:p>
        </w:tc>
        <w:tc>
          <w:tcPr>
            <w:tcW w:w="1134" w:type="dxa"/>
            <w:tcBorders>
              <w:top w:val="single" w:sz="4" w:space="0" w:color="auto"/>
              <w:left w:val="nil"/>
              <w:bottom w:val="single" w:sz="4" w:space="0" w:color="auto"/>
              <w:right w:val="nil"/>
            </w:tcBorders>
            <w:vAlign w:val="center"/>
          </w:tcPr>
          <w:p w14:paraId="162BEA1B" w14:textId="77777777" w:rsidR="00B66664" w:rsidRDefault="00264D9A">
            <w:pPr>
              <w:ind w:firstLineChars="0" w:firstLine="0"/>
              <w:jc w:val="center"/>
              <w:rPr>
                <w:sz w:val="24"/>
              </w:rPr>
            </w:pPr>
            <w:r>
              <w:rPr>
                <w:sz w:val="24"/>
              </w:rPr>
              <w:t>/</w:t>
            </w:r>
          </w:p>
        </w:tc>
        <w:tc>
          <w:tcPr>
            <w:tcW w:w="1275" w:type="dxa"/>
            <w:tcBorders>
              <w:top w:val="single" w:sz="4" w:space="0" w:color="auto"/>
              <w:left w:val="nil"/>
              <w:bottom w:val="single" w:sz="4" w:space="0" w:color="auto"/>
              <w:right w:val="nil"/>
            </w:tcBorders>
            <w:vAlign w:val="center"/>
          </w:tcPr>
          <w:p w14:paraId="2DC0D5F7" w14:textId="77777777" w:rsidR="00B66664" w:rsidRDefault="00264D9A">
            <w:pPr>
              <w:ind w:firstLineChars="0" w:firstLine="0"/>
              <w:jc w:val="center"/>
              <w:rPr>
                <w:sz w:val="24"/>
              </w:rPr>
            </w:pPr>
            <w:r>
              <w:rPr>
                <w:rFonts w:hint="eastAsia"/>
                <w:sz w:val="24"/>
              </w:rPr>
              <w:t>0.0834</w:t>
            </w:r>
          </w:p>
        </w:tc>
        <w:tc>
          <w:tcPr>
            <w:tcW w:w="1134" w:type="dxa"/>
            <w:tcBorders>
              <w:top w:val="single" w:sz="4" w:space="0" w:color="auto"/>
              <w:left w:val="nil"/>
              <w:bottom w:val="single" w:sz="4" w:space="0" w:color="auto"/>
              <w:right w:val="nil"/>
            </w:tcBorders>
            <w:vAlign w:val="center"/>
          </w:tcPr>
          <w:p w14:paraId="59DD3B7F" w14:textId="77777777" w:rsidR="00B66664" w:rsidRDefault="00264D9A">
            <w:pPr>
              <w:ind w:firstLineChars="0" w:firstLine="0"/>
              <w:jc w:val="center"/>
              <w:rPr>
                <w:sz w:val="24"/>
              </w:rPr>
            </w:pPr>
            <w:r>
              <w:rPr>
                <w:sz w:val="24"/>
              </w:rPr>
              <w:t>/</w:t>
            </w:r>
          </w:p>
        </w:tc>
        <w:tc>
          <w:tcPr>
            <w:tcW w:w="1134" w:type="dxa"/>
            <w:tcBorders>
              <w:top w:val="single" w:sz="4" w:space="0" w:color="auto"/>
              <w:left w:val="nil"/>
              <w:bottom w:val="single" w:sz="4" w:space="0" w:color="auto"/>
              <w:right w:val="nil"/>
            </w:tcBorders>
            <w:vAlign w:val="center"/>
          </w:tcPr>
          <w:p w14:paraId="17405E04" w14:textId="77777777" w:rsidR="00B66664" w:rsidRDefault="00264D9A">
            <w:pPr>
              <w:ind w:firstLineChars="0" w:firstLine="0"/>
              <w:jc w:val="center"/>
              <w:rPr>
                <w:sz w:val="24"/>
              </w:rPr>
            </w:pPr>
            <w:r>
              <w:rPr>
                <w:rFonts w:hint="eastAsia"/>
                <w:sz w:val="24"/>
              </w:rPr>
              <w:t>0.4805</w:t>
            </w:r>
          </w:p>
        </w:tc>
        <w:tc>
          <w:tcPr>
            <w:tcW w:w="1108" w:type="dxa"/>
            <w:tcBorders>
              <w:top w:val="single" w:sz="4" w:space="0" w:color="auto"/>
              <w:left w:val="nil"/>
              <w:bottom w:val="single" w:sz="4" w:space="0" w:color="auto"/>
              <w:right w:val="nil"/>
            </w:tcBorders>
            <w:vAlign w:val="center"/>
          </w:tcPr>
          <w:p w14:paraId="1B6381FE" w14:textId="77777777" w:rsidR="00B66664" w:rsidRDefault="00264D9A">
            <w:pPr>
              <w:ind w:firstLineChars="0" w:firstLine="0"/>
              <w:jc w:val="center"/>
              <w:rPr>
                <w:sz w:val="24"/>
              </w:rPr>
            </w:pPr>
            <w:r>
              <w:rPr>
                <w:sz w:val="24"/>
              </w:rPr>
              <w:t>/</w:t>
            </w:r>
          </w:p>
        </w:tc>
        <w:tc>
          <w:tcPr>
            <w:tcW w:w="1152" w:type="dxa"/>
            <w:tcBorders>
              <w:top w:val="single" w:sz="4" w:space="0" w:color="auto"/>
              <w:left w:val="nil"/>
              <w:bottom w:val="single" w:sz="4" w:space="0" w:color="auto"/>
              <w:right w:val="nil"/>
            </w:tcBorders>
            <w:vAlign w:val="center"/>
          </w:tcPr>
          <w:p w14:paraId="537EAC23" w14:textId="77777777" w:rsidR="00B66664" w:rsidRDefault="00264D9A">
            <w:pPr>
              <w:ind w:firstLineChars="0" w:firstLine="0"/>
              <w:jc w:val="center"/>
              <w:rPr>
                <w:sz w:val="24"/>
              </w:rPr>
            </w:pPr>
            <w:r>
              <w:rPr>
                <w:rFonts w:hint="eastAsia"/>
                <w:sz w:val="24"/>
              </w:rPr>
              <w:t>0.9709</w:t>
            </w:r>
          </w:p>
        </w:tc>
      </w:tr>
      <w:tr w:rsidR="00B66664" w14:paraId="4DDED279" w14:textId="77777777">
        <w:trPr>
          <w:trHeight w:val="722"/>
          <w:jc w:val="center"/>
        </w:trPr>
        <w:tc>
          <w:tcPr>
            <w:tcW w:w="1276" w:type="dxa"/>
            <w:tcBorders>
              <w:top w:val="single" w:sz="4" w:space="0" w:color="auto"/>
              <w:left w:val="nil"/>
              <w:right w:val="nil"/>
            </w:tcBorders>
            <w:vAlign w:val="center"/>
          </w:tcPr>
          <w:p w14:paraId="09FD6302" w14:textId="77777777" w:rsidR="00B66664" w:rsidRDefault="00264D9A">
            <w:pPr>
              <w:ind w:firstLineChars="0" w:firstLine="0"/>
              <w:jc w:val="center"/>
              <w:rPr>
                <w:sz w:val="24"/>
              </w:rPr>
            </w:pPr>
            <w:r>
              <w:rPr>
                <w:rFonts w:hAnsiTheme="minorEastAsia"/>
                <w:sz w:val="24"/>
              </w:rPr>
              <w:t>回收率</w:t>
            </w:r>
            <w:r>
              <w:rPr>
                <w:rFonts w:hint="eastAsia"/>
                <w:sz w:val="24"/>
              </w:rPr>
              <w:t>/</w:t>
            </w:r>
            <w:r>
              <w:rPr>
                <w:sz w:val="24"/>
              </w:rPr>
              <w:t>%</w:t>
            </w:r>
          </w:p>
        </w:tc>
        <w:tc>
          <w:tcPr>
            <w:tcW w:w="2409" w:type="dxa"/>
            <w:gridSpan w:val="2"/>
            <w:tcBorders>
              <w:top w:val="single" w:sz="4" w:space="0" w:color="auto"/>
              <w:left w:val="nil"/>
              <w:right w:val="nil"/>
            </w:tcBorders>
            <w:vAlign w:val="center"/>
          </w:tcPr>
          <w:p w14:paraId="58CBFE2B" w14:textId="77777777" w:rsidR="00B66664" w:rsidRDefault="00264D9A">
            <w:pPr>
              <w:ind w:firstLineChars="0" w:firstLine="0"/>
              <w:jc w:val="center"/>
              <w:rPr>
                <w:sz w:val="24"/>
              </w:rPr>
            </w:pPr>
            <w:r>
              <w:rPr>
                <w:rFonts w:hint="eastAsia"/>
                <w:sz w:val="24"/>
              </w:rPr>
              <w:t>83.4</w:t>
            </w:r>
          </w:p>
        </w:tc>
        <w:tc>
          <w:tcPr>
            <w:tcW w:w="2268" w:type="dxa"/>
            <w:gridSpan w:val="2"/>
            <w:tcBorders>
              <w:top w:val="single" w:sz="4" w:space="0" w:color="auto"/>
              <w:left w:val="nil"/>
              <w:right w:val="nil"/>
            </w:tcBorders>
            <w:vAlign w:val="center"/>
          </w:tcPr>
          <w:p w14:paraId="24E2AB8A" w14:textId="77777777" w:rsidR="00B66664" w:rsidRDefault="00264D9A">
            <w:pPr>
              <w:ind w:firstLineChars="0" w:firstLine="0"/>
              <w:jc w:val="center"/>
              <w:rPr>
                <w:sz w:val="24"/>
              </w:rPr>
            </w:pPr>
            <w:r>
              <w:rPr>
                <w:rFonts w:hint="eastAsia"/>
                <w:sz w:val="24"/>
              </w:rPr>
              <w:t>96.1</w:t>
            </w:r>
          </w:p>
        </w:tc>
        <w:tc>
          <w:tcPr>
            <w:tcW w:w="2260" w:type="dxa"/>
            <w:gridSpan w:val="2"/>
            <w:tcBorders>
              <w:top w:val="single" w:sz="4" w:space="0" w:color="auto"/>
              <w:left w:val="nil"/>
              <w:right w:val="nil"/>
            </w:tcBorders>
            <w:vAlign w:val="center"/>
          </w:tcPr>
          <w:p w14:paraId="26DB8089" w14:textId="77777777" w:rsidR="00B66664" w:rsidRDefault="00264D9A">
            <w:pPr>
              <w:ind w:firstLineChars="0" w:firstLine="0"/>
              <w:jc w:val="center"/>
              <w:rPr>
                <w:sz w:val="24"/>
              </w:rPr>
            </w:pPr>
            <w:r>
              <w:rPr>
                <w:rFonts w:hint="eastAsia"/>
                <w:sz w:val="24"/>
              </w:rPr>
              <w:t>97.1</w:t>
            </w:r>
          </w:p>
        </w:tc>
      </w:tr>
    </w:tbl>
    <w:p w14:paraId="783D4977" w14:textId="77777777" w:rsidR="00B66664" w:rsidRDefault="00264D9A">
      <w:pPr>
        <w:pStyle w:val="a9"/>
      </w:pPr>
      <w:r>
        <w:rPr>
          <w:rFonts w:hint="eastAsia"/>
        </w:rPr>
        <w:t xml:space="preserve">5.7.2 </w:t>
      </w:r>
      <w:r>
        <w:rPr>
          <w:rFonts w:hint="eastAsia"/>
        </w:rPr>
        <w:t>多效唑回收率</w:t>
      </w:r>
    </w:p>
    <w:p w14:paraId="62384E71" w14:textId="77777777" w:rsidR="00B66664" w:rsidRDefault="00264D9A">
      <w:pPr>
        <w:ind w:firstLine="560"/>
      </w:pPr>
      <w:r>
        <w:rPr>
          <w:rFonts w:hint="eastAsia"/>
        </w:rPr>
        <w:t>称取样品，分别设高、中、低三个添加水平，每个水平六个重复。按该方法进行样品前处理，采用同样的色谱条件依次对样品进行检测。分别计算高、中、低三个浓度的加标回收率，实验数据见表</w:t>
      </w:r>
      <w:r>
        <w:rPr>
          <w:rFonts w:hint="eastAsia"/>
        </w:rPr>
        <w:t>8</w:t>
      </w:r>
      <w:r>
        <w:rPr>
          <w:rFonts w:hint="eastAsia"/>
        </w:rPr>
        <w:t>，不同添加水平的平均添加回收率在</w:t>
      </w:r>
      <w:r>
        <w:rPr>
          <w:rFonts w:hint="eastAsia"/>
        </w:rPr>
        <w:t>90.0%</w:t>
      </w:r>
      <w:r>
        <w:rPr>
          <w:rFonts w:hint="eastAsia"/>
        </w:rPr>
        <w:t>～</w:t>
      </w:r>
      <w:r>
        <w:rPr>
          <w:rFonts w:hint="eastAsia"/>
        </w:rPr>
        <w:t>96.7%</w:t>
      </w:r>
      <w:r>
        <w:rPr>
          <w:rFonts w:hint="eastAsia"/>
        </w:rPr>
        <w:t>之间，均符合分析要求。</w:t>
      </w:r>
    </w:p>
    <w:p w14:paraId="25263AC4" w14:textId="77777777" w:rsidR="00B66664" w:rsidRDefault="00264D9A">
      <w:pPr>
        <w:pStyle w:val="a3"/>
        <w:spacing w:after="156"/>
        <w:ind w:firstLine="480"/>
      </w:pPr>
      <w:r>
        <w:t>表</w:t>
      </w:r>
      <w:r>
        <w:rPr>
          <w:rFonts w:hint="eastAsia"/>
        </w:rPr>
        <w:t>8</w:t>
      </w:r>
      <w:r>
        <w:rPr>
          <w:rFonts w:hint="eastAsia"/>
        </w:rPr>
        <w:t>多效唑</w:t>
      </w:r>
      <w:r>
        <w:t>加标回收率数据表</w:t>
      </w:r>
    </w:p>
    <w:tbl>
      <w:tblPr>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4"/>
        <w:gridCol w:w="1275"/>
        <w:gridCol w:w="1134"/>
        <w:gridCol w:w="1134"/>
        <w:gridCol w:w="1108"/>
        <w:gridCol w:w="1152"/>
      </w:tblGrid>
      <w:tr w:rsidR="00B66664" w14:paraId="48DE817B" w14:textId="77777777">
        <w:trPr>
          <w:jc w:val="center"/>
        </w:trPr>
        <w:tc>
          <w:tcPr>
            <w:tcW w:w="1276" w:type="dxa"/>
            <w:vMerge w:val="restart"/>
            <w:tcBorders>
              <w:left w:val="nil"/>
              <w:bottom w:val="single" w:sz="4" w:space="0" w:color="auto"/>
              <w:right w:val="nil"/>
            </w:tcBorders>
            <w:vAlign w:val="center"/>
          </w:tcPr>
          <w:p w14:paraId="46A93264" w14:textId="77777777" w:rsidR="00B66664" w:rsidRDefault="00264D9A">
            <w:pPr>
              <w:ind w:firstLineChars="0" w:firstLine="0"/>
              <w:jc w:val="center"/>
              <w:rPr>
                <w:sz w:val="24"/>
              </w:rPr>
            </w:pPr>
            <w:r>
              <w:rPr>
                <w:rFonts w:hAnsiTheme="minorEastAsia"/>
                <w:sz w:val="24"/>
              </w:rPr>
              <w:t>平行样编号</w:t>
            </w:r>
          </w:p>
        </w:tc>
        <w:tc>
          <w:tcPr>
            <w:tcW w:w="6937" w:type="dxa"/>
            <w:gridSpan w:val="6"/>
            <w:tcBorders>
              <w:left w:val="nil"/>
              <w:bottom w:val="single" w:sz="4" w:space="0" w:color="auto"/>
              <w:right w:val="nil"/>
            </w:tcBorders>
            <w:vAlign w:val="center"/>
          </w:tcPr>
          <w:p w14:paraId="63FF0137" w14:textId="77777777" w:rsidR="00B66664" w:rsidRDefault="00264D9A">
            <w:pPr>
              <w:ind w:firstLineChars="0" w:firstLine="0"/>
              <w:jc w:val="center"/>
              <w:rPr>
                <w:sz w:val="24"/>
              </w:rPr>
            </w:pPr>
            <w:r>
              <w:rPr>
                <w:rFonts w:hAnsiTheme="minorEastAsia"/>
                <w:sz w:val="24"/>
              </w:rPr>
              <w:t>测定结果</w:t>
            </w:r>
          </w:p>
        </w:tc>
      </w:tr>
      <w:tr w:rsidR="00B66664" w14:paraId="35567E9C" w14:textId="77777777">
        <w:trPr>
          <w:jc w:val="center"/>
        </w:trPr>
        <w:tc>
          <w:tcPr>
            <w:tcW w:w="1276" w:type="dxa"/>
            <w:vMerge/>
            <w:tcBorders>
              <w:top w:val="single" w:sz="4" w:space="0" w:color="auto"/>
              <w:left w:val="nil"/>
              <w:bottom w:val="single" w:sz="4" w:space="0" w:color="auto"/>
              <w:right w:val="nil"/>
            </w:tcBorders>
            <w:vAlign w:val="center"/>
          </w:tcPr>
          <w:p w14:paraId="1B1A381B" w14:textId="77777777" w:rsidR="00B66664" w:rsidRDefault="00B66664">
            <w:pPr>
              <w:ind w:firstLineChars="0" w:firstLine="0"/>
              <w:jc w:val="center"/>
              <w:rPr>
                <w:sz w:val="24"/>
              </w:rPr>
            </w:pPr>
          </w:p>
        </w:tc>
        <w:tc>
          <w:tcPr>
            <w:tcW w:w="2409" w:type="dxa"/>
            <w:gridSpan w:val="2"/>
            <w:tcBorders>
              <w:top w:val="single" w:sz="4" w:space="0" w:color="auto"/>
              <w:left w:val="nil"/>
              <w:bottom w:val="single" w:sz="4" w:space="0" w:color="auto"/>
              <w:right w:val="nil"/>
            </w:tcBorders>
            <w:vAlign w:val="center"/>
          </w:tcPr>
          <w:p w14:paraId="57E73747" w14:textId="77777777" w:rsidR="00B66664" w:rsidRDefault="00264D9A">
            <w:pPr>
              <w:ind w:firstLineChars="0" w:firstLine="0"/>
              <w:jc w:val="center"/>
              <w:rPr>
                <w:sz w:val="24"/>
              </w:rPr>
            </w:pPr>
            <w:r>
              <w:rPr>
                <w:rFonts w:hAnsiTheme="minorEastAsia"/>
                <w:sz w:val="24"/>
              </w:rPr>
              <w:t>低水平</w:t>
            </w:r>
          </w:p>
        </w:tc>
        <w:tc>
          <w:tcPr>
            <w:tcW w:w="2268" w:type="dxa"/>
            <w:gridSpan w:val="2"/>
            <w:tcBorders>
              <w:top w:val="single" w:sz="4" w:space="0" w:color="auto"/>
              <w:left w:val="nil"/>
              <w:bottom w:val="single" w:sz="4" w:space="0" w:color="auto"/>
              <w:right w:val="nil"/>
            </w:tcBorders>
            <w:vAlign w:val="center"/>
          </w:tcPr>
          <w:p w14:paraId="5C4085F8" w14:textId="77777777" w:rsidR="00B66664" w:rsidRDefault="00264D9A">
            <w:pPr>
              <w:ind w:firstLineChars="0" w:firstLine="0"/>
              <w:jc w:val="center"/>
              <w:rPr>
                <w:sz w:val="24"/>
              </w:rPr>
            </w:pPr>
            <w:r>
              <w:rPr>
                <w:rFonts w:hAnsiTheme="minorEastAsia"/>
                <w:sz w:val="24"/>
              </w:rPr>
              <w:t>中水平</w:t>
            </w:r>
          </w:p>
        </w:tc>
        <w:tc>
          <w:tcPr>
            <w:tcW w:w="2260" w:type="dxa"/>
            <w:gridSpan w:val="2"/>
            <w:tcBorders>
              <w:top w:val="single" w:sz="4" w:space="0" w:color="auto"/>
              <w:left w:val="nil"/>
              <w:bottom w:val="single" w:sz="4" w:space="0" w:color="auto"/>
              <w:right w:val="nil"/>
            </w:tcBorders>
          </w:tcPr>
          <w:p w14:paraId="32605981" w14:textId="77777777" w:rsidR="00B66664" w:rsidRDefault="00264D9A">
            <w:pPr>
              <w:ind w:firstLineChars="0" w:firstLine="0"/>
              <w:jc w:val="center"/>
              <w:rPr>
                <w:sz w:val="24"/>
              </w:rPr>
            </w:pPr>
            <w:r>
              <w:rPr>
                <w:rFonts w:hAnsiTheme="minorEastAsia"/>
                <w:sz w:val="24"/>
              </w:rPr>
              <w:t>高水平</w:t>
            </w:r>
          </w:p>
        </w:tc>
      </w:tr>
      <w:tr w:rsidR="00B66664" w14:paraId="157A6E61" w14:textId="77777777">
        <w:trPr>
          <w:trHeight w:val="498"/>
          <w:jc w:val="center"/>
        </w:trPr>
        <w:tc>
          <w:tcPr>
            <w:tcW w:w="1276" w:type="dxa"/>
            <w:vMerge/>
            <w:tcBorders>
              <w:top w:val="single" w:sz="4" w:space="0" w:color="auto"/>
              <w:left w:val="nil"/>
              <w:bottom w:val="single" w:sz="4" w:space="0" w:color="auto"/>
              <w:right w:val="nil"/>
            </w:tcBorders>
            <w:vAlign w:val="center"/>
          </w:tcPr>
          <w:p w14:paraId="5243EADB" w14:textId="77777777" w:rsidR="00B66664" w:rsidRDefault="00B66664">
            <w:pPr>
              <w:ind w:firstLineChars="0" w:firstLine="0"/>
              <w:jc w:val="center"/>
              <w:rPr>
                <w:sz w:val="24"/>
              </w:rPr>
            </w:pPr>
          </w:p>
        </w:tc>
        <w:tc>
          <w:tcPr>
            <w:tcW w:w="1134" w:type="dxa"/>
            <w:tcBorders>
              <w:top w:val="single" w:sz="4" w:space="0" w:color="auto"/>
              <w:left w:val="nil"/>
              <w:bottom w:val="single" w:sz="4" w:space="0" w:color="auto"/>
              <w:right w:val="nil"/>
            </w:tcBorders>
            <w:vAlign w:val="center"/>
          </w:tcPr>
          <w:p w14:paraId="1295B8A4" w14:textId="77777777" w:rsidR="00B66664" w:rsidRDefault="00264D9A">
            <w:pPr>
              <w:ind w:firstLineChars="0" w:firstLine="0"/>
              <w:jc w:val="center"/>
              <w:rPr>
                <w:sz w:val="24"/>
              </w:rPr>
            </w:pPr>
            <w:r>
              <w:rPr>
                <w:rFonts w:hAnsiTheme="minorEastAsia"/>
                <w:sz w:val="24"/>
              </w:rPr>
              <w:t>添加量</w:t>
            </w:r>
            <w:r>
              <w:rPr>
                <w:rFonts w:hAnsiTheme="minorEastAsia" w:hint="eastAsia"/>
                <w:sz w:val="24"/>
              </w:rPr>
              <w:t>/mg</w:t>
            </w:r>
          </w:p>
        </w:tc>
        <w:tc>
          <w:tcPr>
            <w:tcW w:w="1275" w:type="dxa"/>
            <w:tcBorders>
              <w:top w:val="single" w:sz="4" w:space="0" w:color="auto"/>
              <w:left w:val="nil"/>
              <w:bottom w:val="single" w:sz="4" w:space="0" w:color="auto"/>
              <w:right w:val="nil"/>
            </w:tcBorders>
            <w:vAlign w:val="center"/>
          </w:tcPr>
          <w:p w14:paraId="14D92055" w14:textId="77777777" w:rsidR="00B66664" w:rsidRDefault="00264D9A">
            <w:pPr>
              <w:ind w:firstLineChars="0" w:firstLine="0"/>
              <w:jc w:val="center"/>
              <w:rPr>
                <w:sz w:val="24"/>
              </w:rPr>
            </w:pPr>
            <w:r>
              <w:rPr>
                <w:rFonts w:hAnsiTheme="minorEastAsia"/>
                <w:sz w:val="24"/>
              </w:rPr>
              <w:t>测定值</w:t>
            </w:r>
            <w:r>
              <w:rPr>
                <w:rFonts w:hAnsiTheme="minorEastAsia"/>
                <w:sz w:val="24"/>
              </w:rPr>
              <w:t>/mg</w:t>
            </w:r>
          </w:p>
        </w:tc>
        <w:tc>
          <w:tcPr>
            <w:tcW w:w="1134" w:type="dxa"/>
            <w:tcBorders>
              <w:top w:val="single" w:sz="4" w:space="0" w:color="auto"/>
              <w:left w:val="nil"/>
              <w:bottom w:val="single" w:sz="4" w:space="0" w:color="auto"/>
              <w:right w:val="nil"/>
            </w:tcBorders>
            <w:vAlign w:val="center"/>
          </w:tcPr>
          <w:p w14:paraId="68BA0B8F" w14:textId="77777777" w:rsidR="00B66664" w:rsidRDefault="00264D9A">
            <w:pPr>
              <w:ind w:firstLineChars="0" w:firstLine="0"/>
              <w:jc w:val="center"/>
              <w:rPr>
                <w:sz w:val="24"/>
              </w:rPr>
            </w:pPr>
            <w:r>
              <w:rPr>
                <w:rFonts w:hAnsiTheme="minorEastAsia"/>
                <w:sz w:val="24"/>
              </w:rPr>
              <w:t>添加量</w:t>
            </w:r>
            <w:r>
              <w:rPr>
                <w:rFonts w:hAnsiTheme="minorEastAsia"/>
                <w:sz w:val="24"/>
              </w:rPr>
              <w:t>/mg</w:t>
            </w:r>
          </w:p>
        </w:tc>
        <w:tc>
          <w:tcPr>
            <w:tcW w:w="1134" w:type="dxa"/>
            <w:tcBorders>
              <w:top w:val="single" w:sz="4" w:space="0" w:color="auto"/>
              <w:left w:val="nil"/>
              <w:bottom w:val="single" w:sz="4" w:space="0" w:color="auto"/>
              <w:right w:val="nil"/>
            </w:tcBorders>
            <w:vAlign w:val="center"/>
          </w:tcPr>
          <w:p w14:paraId="445A4D02" w14:textId="77777777" w:rsidR="00B66664" w:rsidRDefault="00264D9A">
            <w:pPr>
              <w:ind w:firstLineChars="0" w:firstLine="0"/>
              <w:jc w:val="center"/>
              <w:rPr>
                <w:sz w:val="24"/>
              </w:rPr>
            </w:pPr>
            <w:r>
              <w:rPr>
                <w:rFonts w:hAnsiTheme="minorEastAsia"/>
                <w:sz w:val="24"/>
              </w:rPr>
              <w:t>测定值</w:t>
            </w:r>
            <w:r>
              <w:rPr>
                <w:rFonts w:hAnsiTheme="minorEastAsia"/>
                <w:sz w:val="24"/>
              </w:rPr>
              <w:t>/mg</w:t>
            </w:r>
          </w:p>
        </w:tc>
        <w:tc>
          <w:tcPr>
            <w:tcW w:w="1108" w:type="dxa"/>
            <w:tcBorders>
              <w:top w:val="single" w:sz="4" w:space="0" w:color="auto"/>
              <w:left w:val="nil"/>
              <w:bottom w:val="single" w:sz="4" w:space="0" w:color="auto"/>
              <w:right w:val="nil"/>
            </w:tcBorders>
            <w:vAlign w:val="center"/>
          </w:tcPr>
          <w:p w14:paraId="57491A52" w14:textId="77777777" w:rsidR="00B66664" w:rsidRDefault="00264D9A">
            <w:pPr>
              <w:ind w:firstLineChars="0" w:firstLine="0"/>
              <w:jc w:val="center"/>
              <w:rPr>
                <w:sz w:val="24"/>
              </w:rPr>
            </w:pPr>
            <w:r>
              <w:rPr>
                <w:rFonts w:hAnsiTheme="minorEastAsia"/>
                <w:sz w:val="24"/>
              </w:rPr>
              <w:t>添加量</w:t>
            </w:r>
            <w:r>
              <w:rPr>
                <w:rFonts w:hAnsiTheme="minorEastAsia"/>
                <w:sz w:val="24"/>
              </w:rPr>
              <w:t>/mg</w:t>
            </w:r>
          </w:p>
        </w:tc>
        <w:tc>
          <w:tcPr>
            <w:tcW w:w="1152" w:type="dxa"/>
            <w:tcBorders>
              <w:top w:val="single" w:sz="4" w:space="0" w:color="auto"/>
              <w:left w:val="nil"/>
              <w:bottom w:val="single" w:sz="4" w:space="0" w:color="auto"/>
              <w:right w:val="nil"/>
            </w:tcBorders>
            <w:vAlign w:val="center"/>
          </w:tcPr>
          <w:p w14:paraId="2A839867" w14:textId="77777777" w:rsidR="00B66664" w:rsidRDefault="00264D9A">
            <w:pPr>
              <w:ind w:firstLineChars="0" w:firstLine="0"/>
              <w:jc w:val="center"/>
              <w:rPr>
                <w:sz w:val="24"/>
              </w:rPr>
            </w:pPr>
            <w:r>
              <w:rPr>
                <w:rFonts w:hAnsiTheme="minorEastAsia"/>
                <w:sz w:val="24"/>
              </w:rPr>
              <w:t>测定值</w:t>
            </w:r>
            <w:r>
              <w:rPr>
                <w:rFonts w:hAnsiTheme="minorEastAsia"/>
                <w:sz w:val="24"/>
              </w:rPr>
              <w:t>/mg</w:t>
            </w:r>
          </w:p>
        </w:tc>
      </w:tr>
      <w:tr w:rsidR="00B66664" w14:paraId="3FA589E1" w14:textId="77777777">
        <w:trPr>
          <w:trHeight w:val="562"/>
          <w:jc w:val="center"/>
        </w:trPr>
        <w:tc>
          <w:tcPr>
            <w:tcW w:w="1276" w:type="dxa"/>
            <w:tcBorders>
              <w:top w:val="single" w:sz="4" w:space="0" w:color="auto"/>
              <w:left w:val="nil"/>
              <w:bottom w:val="single" w:sz="4" w:space="0" w:color="auto"/>
              <w:right w:val="nil"/>
            </w:tcBorders>
            <w:vAlign w:val="center"/>
          </w:tcPr>
          <w:p w14:paraId="14E9333E" w14:textId="77777777" w:rsidR="00B66664" w:rsidRDefault="00264D9A">
            <w:pPr>
              <w:ind w:firstLineChars="0" w:firstLine="0"/>
              <w:jc w:val="center"/>
              <w:rPr>
                <w:sz w:val="24"/>
              </w:rPr>
            </w:pPr>
            <w:r>
              <w:rPr>
                <w:sz w:val="24"/>
              </w:rPr>
              <w:t>1</w:t>
            </w:r>
          </w:p>
        </w:tc>
        <w:tc>
          <w:tcPr>
            <w:tcW w:w="1134" w:type="dxa"/>
            <w:vMerge w:val="restart"/>
            <w:tcBorders>
              <w:top w:val="single" w:sz="4" w:space="0" w:color="auto"/>
              <w:left w:val="nil"/>
              <w:bottom w:val="single" w:sz="4" w:space="0" w:color="auto"/>
              <w:right w:val="nil"/>
            </w:tcBorders>
            <w:vAlign w:val="center"/>
          </w:tcPr>
          <w:p w14:paraId="515F873F" w14:textId="77777777" w:rsidR="00B66664" w:rsidRDefault="00264D9A">
            <w:pPr>
              <w:ind w:firstLineChars="0" w:firstLine="0"/>
              <w:jc w:val="center"/>
              <w:rPr>
                <w:sz w:val="24"/>
              </w:rPr>
            </w:pPr>
            <w:r>
              <w:rPr>
                <w:rFonts w:hint="eastAsia"/>
                <w:sz w:val="24"/>
              </w:rPr>
              <w:t>0.1</w:t>
            </w:r>
          </w:p>
        </w:tc>
        <w:tc>
          <w:tcPr>
            <w:tcW w:w="1275" w:type="dxa"/>
            <w:tcBorders>
              <w:top w:val="single" w:sz="4" w:space="0" w:color="auto"/>
              <w:left w:val="nil"/>
              <w:bottom w:val="single" w:sz="4" w:space="0" w:color="auto"/>
              <w:right w:val="nil"/>
            </w:tcBorders>
            <w:vAlign w:val="center"/>
          </w:tcPr>
          <w:p w14:paraId="58D45ECA" w14:textId="77777777" w:rsidR="00B66664" w:rsidRDefault="00264D9A">
            <w:pPr>
              <w:ind w:firstLineChars="0" w:firstLine="0"/>
              <w:jc w:val="center"/>
              <w:rPr>
                <w:rFonts w:ascii="宋体" w:hAnsi="宋体" w:cs="宋体"/>
                <w:color w:val="000000"/>
                <w:sz w:val="22"/>
                <w:szCs w:val="22"/>
              </w:rPr>
            </w:pPr>
            <w:r>
              <w:rPr>
                <w:rFonts w:hint="eastAsia"/>
                <w:color w:val="000000"/>
                <w:sz w:val="22"/>
                <w:szCs w:val="22"/>
              </w:rPr>
              <w:t>0.0946</w:t>
            </w:r>
          </w:p>
        </w:tc>
        <w:tc>
          <w:tcPr>
            <w:tcW w:w="1134" w:type="dxa"/>
            <w:vMerge w:val="restart"/>
            <w:tcBorders>
              <w:top w:val="single" w:sz="4" w:space="0" w:color="auto"/>
              <w:left w:val="nil"/>
              <w:bottom w:val="single" w:sz="4" w:space="0" w:color="auto"/>
              <w:right w:val="nil"/>
            </w:tcBorders>
            <w:vAlign w:val="center"/>
          </w:tcPr>
          <w:p w14:paraId="66456297" w14:textId="77777777" w:rsidR="00B66664" w:rsidRDefault="00264D9A">
            <w:pPr>
              <w:ind w:firstLineChars="0" w:firstLine="0"/>
              <w:jc w:val="center"/>
              <w:rPr>
                <w:sz w:val="24"/>
              </w:rPr>
            </w:pPr>
            <w:r>
              <w:rPr>
                <w:rFonts w:hint="eastAsia"/>
                <w:sz w:val="24"/>
              </w:rPr>
              <w:t>0.5</w:t>
            </w:r>
          </w:p>
        </w:tc>
        <w:tc>
          <w:tcPr>
            <w:tcW w:w="1134" w:type="dxa"/>
            <w:tcBorders>
              <w:top w:val="single" w:sz="4" w:space="0" w:color="auto"/>
              <w:left w:val="nil"/>
              <w:bottom w:val="single" w:sz="4" w:space="0" w:color="auto"/>
              <w:right w:val="nil"/>
            </w:tcBorders>
            <w:vAlign w:val="center"/>
          </w:tcPr>
          <w:p w14:paraId="0EE43AB0" w14:textId="77777777" w:rsidR="00B66664" w:rsidRDefault="00264D9A">
            <w:pPr>
              <w:ind w:firstLineChars="0" w:firstLine="0"/>
              <w:jc w:val="center"/>
              <w:rPr>
                <w:rFonts w:ascii="宋体" w:hAnsi="宋体" w:cs="宋体"/>
                <w:color w:val="000000"/>
                <w:sz w:val="22"/>
                <w:szCs w:val="22"/>
              </w:rPr>
            </w:pPr>
            <w:r>
              <w:rPr>
                <w:rFonts w:hint="eastAsia"/>
                <w:color w:val="000000"/>
                <w:sz w:val="22"/>
                <w:szCs w:val="22"/>
              </w:rPr>
              <w:t>0.4891</w:t>
            </w:r>
          </w:p>
        </w:tc>
        <w:tc>
          <w:tcPr>
            <w:tcW w:w="1108" w:type="dxa"/>
            <w:vMerge w:val="restart"/>
            <w:tcBorders>
              <w:top w:val="single" w:sz="4" w:space="0" w:color="auto"/>
              <w:left w:val="nil"/>
              <w:bottom w:val="single" w:sz="4" w:space="0" w:color="auto"/>
              <w:right w:val="nil"/>
            </w:tcBorders>
            <w:vAlign w:val="center"/>
          </w:tcPr>
          <w:p w14:paraId="64AC20C4" w14:textId="77777777" w:rsidR="00B66664" w:rsidRDefault="00264D9A">
            <w:pPr>
              <w:ind w:firstLineChars="0" w:firstLine="0"/>
              <w:jc w:val="center"/>
              <w:rPr>
                <w:sz w:val="24"/>
              </w:rPr>
            </w:pPr>
            <w:r>
              <w:rPr>
                <w:rFonts w:hint="eastAsia"/>
                <w:sz w:val="24"/>
              </w:rPr>
              <w:t>1</w:t>
            </w:r>
          </w:p>
        </w:tc>
        <w:tc>
          <w:tcPr>
            <w:tcW w:w="1152" w:type="dxa"/>
            <w:tcBorders>
              <w:top w:val="single" w:sz="4" w:space="0" w:color="auto"/>
              <w:left w:val="nil"/>
              <w:bottom w:val="single" w:sz="4" w:space="0" w:color="auto"/>
              <w:right w:val="nil"/>
            </w:tcBorders>
            <w:vAlign w:val="center"/>
          </w:tcPr>
          <w:p w14:paraId="3A71ED33" w14:textId="77777777" w:rsidR="00B66664" w:rsidRDefault="00264D9A">
            <w:pPr>
              <w:ind w:firstLineChars="0" w:firstLine="0"/>
              <w:jc w:val="center"/>
              <w:rPr>
                <w:rFonts w:ascii="宋体" w:hAnsi="宋体" w:cs="宋体"/>
                <w:color w:val="000000"/>
                <w:sz w:val="22"/>
                <w:szCs w:val="22"/>
              </w:rPr>
            </w:pPr>
            <w:r>
              <w:rPr>
                <w:rFonts w:hint="eastAsia"/>
                <w:color w:val="000000"/>
                <w:sz w:val="22"/>
                <w:szCs w:val="22"/>
              </w:rPr>
              <w:t>0.9704</w:t>
            </w:r>
          </w:p>
        </w:tc>
      </w:tr>
      <w:tr w:rsidR="00B66664" w14:paraId="69CF86DC" w14:textId="77777777">
        <w:trPr>
          <w:trHeight w:val="540"/>
          <w:jc w:val="center"/>
        </w:trPr>
        <w:tc>
          <w:tcPr>
            <w:tcW w:w="1276" w:type="dxa"/>
            <w:tcBorders>
              <w:top w:val="single" w:sz="4" w:space="0" w:color="auto"/>
              <w:left w:val="nil"/>
              <w:bottom w:val="single" w:sz="4" w:space="0" w:color="auto"/>
              <w:right w:val="nil"/>
            </w:tcBorders>
            <w:vAlign w:val="center"/>
          </w:tcPr>
          <w:p w14:paraId="4CA75A19" w14:textId="77777777" w:rsidR="00B66664" w:rsidRDefault="00264D9A">
            <w:pPr>
              <w:ind w:firstLineChars="0" w:firstLine="0"/>
              <w:jc w:val="center"/>
              <w:rPr>
                <w:sz w:val="24"/>
              </w:rPr>
            </w:pPr>
            <w:r>
              <w:rPr>
                <w:sz w:val="24"/>
              </w:rPr>
              <w:t>2</w:t>
            </w:r>
          </w:p>
        </w:tc>
        <w:tc>
          <w:tcPr>
            <w:tcW w:w="1134" w:type="dxa"/>
            <w:vMerge/>
            <w:tcBorders>
              <w:top w:val="single" w:sz="4" w:space="0" w:color="auto"/>
              <w:left w:val="nil"/>
              <w:bottom w:val="single" w:sz="4" w:space="0" w:color="auto"/>
              <w:right w:val="nil"/>
            </w:tcBorders>
            <w:vAlign w:val="center"/>
          </w:tcPr>
          <w:p w14:paraId="4B38575C" w14:textId="77777777" w:rsidR="00B66664" w:rsidRDefault="00B66664">
            <w:pPr>
              <w:ind w:firstLineChars="0" w:firstLine="0"/>
              <w:jc w:val="center"/>
              <w:rPr>
                <w:sz w:val="24"/>
              </w:rPr>
            </w:pPr>
          </w:p>
        </w:tc>
        <w:tc>
          <w:tcPr>
            <w:tcW w:w="1275" w:type="dxa"/>
            <w:tcBorders>
              <w:top w:val="single" w:sz="4" w:space="0" w:color="auto"/>
              <w:left w:val="nil"/>
              <w:bottom w:val="single" w:sz="4" w:space="0" w:color="auto"/>
              <w:right w:val="nil"/>
            </w:tcBorders>
            <w:vAlign w:val="center"/>
          </w:tcPr>
          <w:p w14:paraId="4B7C3BF0" w14:textId="77777777" w:rsidR="00B66664" w:rsidRDefault="00264D9A">
            <w:pPr>
              <w:ind w:firstLineChars="0" w:firstLine="0"/>
              <w:jc w:val="center"/>
              <w:rPr>
                <w:rFonts w:ascii="宋体" w:hAnsi="宋体" w:cs="宋体"/>
                <w:color w:val="000000"/>
                <w:sz w:val="22"/>
                <w:szCs w:val="22"/>
              </w:rPr>
            </w:pPr>
            <w:r>
              <w:rPr>
                <w:rFonts w:hint="eastAsia"/>
                <w:color w:val="000000"/>
                <w:sz w:val="22"/>
                <w:szCs w:val="22"/>
              </w:rPr>
              <w:t>0.0940</w:t>
            </w:r>
          </w:p>
        </w:tc>
        <w:tc>
          <w:tcPr>
            <w:tcW w:w="1134" w:type="dxa"/>
            <w:vMerge/>
            <w:tcBorders>
              <w:top w:val="single" w:sz="4" w:space="0" w:color="auto"/>
              <w:left w:val="nil"/>
              <w:bottom w:val="single" w:sz="4" w:space="0" w:color="auto"/>
              <w:right w:val="nil"/>
            </w:tcBorders>
            <w:vAlign w:val="center"/>
          </w:tcPr>
          <w:p w14:paraId="78144605" w14:textId="77777777" w:rsidR="00B66664" w:rsidRDefault="00B66664">
            <w:pPr>
              <w:ind w:firstLineChars="0" w:firstLine="0"/>
              <w:jc w:val="center"/>
              <w:rPr>
                <w:sz w:val="24"/>
              </w:rPr>
            </w:pPr>
          </w:p>
        </w:tc>
        <w:tc>
          <w:tcPr>
            <w:tcW w:w="1134" w:type="dxa"/>
            <w:tcBorders>
              <w:top w:val="single" w:sz="4" w:space="0" w:color="auto"/>
              <w:left w:val="nil"/>
              <w:bottom w:val="single" w:sz="4" w:space="0" w:color="auto"/>
              <w:right w:val="nil"/>
            </w:tcBorders>
            <w:vAlign w:val="center"/>
          </w:tcPr>
          <w:p w14:paraId="3CCF13DF" w14:textId="77777777" w:rsidR="00B66664" w:rsidRDefault="00264D9A">
            <w:pPr>
              <w:ind w:firstLineChars="0" w:firstLine="0"/>
              <w:jc w:val="center"/>
              <w:rPr>
                <w:rFonts w:ascii="宋体" w:hAnsi="宋体" w:cs="宋体"/>
                <w:color w:val="000000"/>
                <w:sz w:val="22"/>
                <w:szCs w:val="22"/>
              </w:rPr>
            </w:pPr>
            <w:r>
              <w:rPr>
                <w:rFonts w:hint="eastAsia"/>
                <w:color w:val="000000"/>
                <w:sz w:val="22"/>
                <w:szCs w:val="22"/>
              </w:rPr>
              <w:t>0.4905</w:t>
            </w:r>
          </w:p>
        </w:tc>
        <w:tc>
          <w:tcPr>
            <w:tcW w:w="1108" w:type="dxa"/>
            <w:vMerge/>
            <w:tcBorders>
              <w:top w:val="single" w:sz="4" w:space="0" w:color="auto"/>
              <w:left w:val="nil"/>
              <w:bottom w:val="single" w:sz="4" w:space="0" w:color="auto"/>
              <w:right w:val="nil"/>
            </w:tcBorders>
            <w:vAlign w:val="center"/>
          </w:tcPr>
          <w:p w14:paraId="6F3A14C5" w14:textId="77777777" w:rsidR="00B66664" w:rsidRDefault="00B66664">
            <w:pPr>
              <w:ind w:firstLineChars="0" w:firstLine="0"/>
              <w:jc w:val="center"/>
              <w:rPr>
                <w:sz w:val="24"/>
              </w:rPr>
            </w:pPr>
          </w:p>
        </w:tc>
        <w:tc>
          <w:tcPr>
            <w:tcW w:w="1152" w:type="dxa"/>
            <w:tcBorders>
              <w:top w:val="single" w:sz="4" w:space="0" w:color="auto"/>
              <w:left w:val="nil"/>
              <w:bottom w:val="single" w:sz="4" w:space="0" w:color="auto"/>
              <w:right w:val="nil"/>
            </w:tcBorders>
            <w:vAlign w:val="center"/>
          </w:tcPr>
          <w:p w14:paraId="223BC3B4" w14:textId="77777777" w:rsidR="00B66664" w:rsidRDefault="00264D9A">
            <w:pPr>
              <w:ind w:firstLineChars="0" w:firstLine="0"/>
              <w:jc w:val="center"/>
              <w:rPr>
                <w:rFonts w:ascii="宋体" w:hAnsi="宋体" w:cs="宋体"/>
                <w:color w:val="000000"/>
                <w:sz w:val="22"/>
                <w:szCs w:val="22"/>
              </w:rPr>
            </w:pPr>
            <w:r>
              <w:rPr>
                <w:rFonts w:hint="eastAsia"/>
                <w:color w:val="000000"/>
                <w:sz w:val="22"/>
                <w:szCs w:val="22"/>
              </w:rPr>
              <w:t>0.9907</w:t>
            </w:r>
          </w:p>
        </w:tc>
      </w:tr>
      <w:tr w:rsidR="00B66664" w14:paraId="1981EAF5" w14:textId="77777777">
        <w:trPr>
          <w:trHeight w:val="564"/>
          <w:jc w:val="center"/>
        </w:trPr>
        <w:tc>
          <w:tcPr>
            <w:tcW w:w="1276" w:type="dxa"/>
            <w:tcBorders>
              <w:top w:val="single" w:sz="4" w:space="0" w:color="auto"/>
              <w:left w:val="nil"/>
              <w:bottom w:val="single" w:sz="4" w:space="0" w:color="auto"/>
              <w:right w:val="nil"/>
            </w:tcBorders>
            <w:vAlign w:val="center"/>
          </w:tcPr>
          <w:p w14:paraId="5975A825" w14:textId="77777777" w:rsidR="00B66664" w:rsidRDefault="00264D9A">
            <w:pPr>
              <w:ind w:firstLineChars="0" w:firstLine="0"/>
              <w:jc w:val="center"/>
              <w:rPr>
                <w:sz w:val="24"/>
              </w:rPr>
            </w:pPr>
            <w:r>
              <w:rPr>
                <w:sz w:val="24"/>
              </w:rPr>
              <w:t>3</w:t>
            </w:r>
          </w:p>
        </w:tc>
        <w:tc>
          <w:tcPr>
            <w:tcW w:w="1134" w:type="dxa"/>
            <w:vMerge/>
            <w:tcBorders>
              <w:top w:val="single" w:sz="4" w:space="0" w:color="auto"/>
              <w:left w:val="nil"/>
              <w:bottom w:val="single" w:sz="4" w:space="0" w:color="auto"/>
              <w:right w:val="nil"/>
            </w:tcBorders>
            <w:vAlign w:val="center"/>
          </w:tcPr>
          <w:p w14:paraId="11C087CF" w14:textId="77777777" w:rsidR="00B66664" w:rsidRDefault="00B66664">
            <w:pPr>
              <w:ind w:firstLineChars="0" w:firstLine="0"/>
              <w:jc w:val="center"/>
              <w:rPr>
                <w:sz w:val="24"/>
              </w:rPr>
            </w:pPr>
          </w:p>
        </w:tc>
        <w:tc>
          <w:tcPr>
            <w:tcW w:w="1275" w:type="dxa"/>
            <w:tcBorders>
              <w:top w:val="single" w:sz="4" w:space="0" w:color="auto"/>
              <w:left w:val="nil"/>
              <w:bottom w:val="single" w:sz="4" w:space="0" w:color="auto"/>
              <w:right w:val="nil"/>
            </w:tcBorders>
            <w:vAlign w:val="center"/>
          </w:tcPr>
          <w:p w14:paraId="2226C70D" w14:textId="77777777" w:rsidR="00B66664" w:rsidRDefault="00264D9A">
            <w:pPr>
              <w:ind w:firstLineChars="0" w:firstLine="0"/>
              <w:jc w:val="center"/>
              <w:rPr>
                <w:rFonts w:ascii="宋体" w:hAnsi="宋体" w:cs="宋体"/>
                <w:color w:val="000000"/>
                <w:sz w:val="22"/>
                <w:szCs w:val="22"/>
              </w:rPr>
            </w:pPr>
            <w:r>
              <w:rPr>
                <w:rFonts w:hint="eastAsia"/>
                <w:color w:val="000000"/>
                <w:sz w:val="22"/>
                <w:szCs w:val="22"/>
              </w:rPr>
              <w:t>0.0891</w:t>
            </w:r>
          </w:p>
        </w:tc>
        <w:tc>
          <w:tcPr>
            <w:tcW w:w="1134" w:type="dxa"/>
            <w:vMerge/>
            <w:tcBorders>
              <w:top w:val="single" w:sz="4" w:space="0" w:color="auto"/>
              <w:left w:val="nil"/>
              <w:bottom w:val="single" w:sz="4" w:space="0" w:color="auto"/>
              <w:right w:val="nil"/>
            </w:tcBorders>
            <w:vAlign w:val="center"/>
          </w:tcPr>
          <w:p w14:paraId="44AEEFB3" w14:textId="77777777" w:rsidR="00B66664" w:rsidRDefault="00B66664">
            <w:pPr>
              <w:ind w:firstLineChars="0" w:firstLine="0"/>
              <w:jc w:val="center"/>
              <w:rPr>
                <w:sz w:val="24"/>
              </w:rPr>
            </w:pPr>
          </w:p>
        </w:tc>
        <w:tc>
          <w:tcPr>
            <w:tcW w:w="1134" w:type="dxa"/>
            <w:tcBorders>
              <w:top w:val="single" w:sz="4" w:space="0" w:color="auto"/>
              <w:left w:val="nil"/>
              <w:bottom w:val="single" w:sz="4" w:space="0" w:color="auto"/>
              <w:right w:val="nil"/>
            </w:tcBorders>
            <w:vAlign w:val="center"/>
          </w:tcPr>
          <w:p w14:paraId="062E85CA" w14:textId="77777777" w:rsidR="00B66664" w:rsidRDefault="00264D9A">
            <w:pPr>
              <w:ind w:firstLineChars="0" w:firstLine="0"/>
              <w:jc w:val="center"/>
              <w:rPr>
                <w:rFonts w:ascii="宋体" w:hAnsi="宋体" w:cs="宋体"/>
                <w:color w:val="000000"/>
                <w:sz w:val="22"/>
                <w:szCs w:val="22"/>
              </w:rPr>
            </w:pPr>
            <w:r>
              <w:rPr>
                <w:rFonts w:hint="eastAsia"/>
                <w:color w:val="000000"/>
                <w:sz w:val="22"/>
                <w:szCs w:val="22"/>
              </w:rPr>
              <w:t>0.4755</w:t>
            </w:r>
          </w:p>
        </w:tc>
        <w:tc>
          <w:tcPr>
            <w:tcW w:w="1108" w:type="dxa"/>
            <w:vMerge/>
            <w:tcBorders>
              <w:top w:val="single" w:sz="4" w:space="0" w:color="auto"/>
              <w:left w:val="nil"/>
              <w:bottom w:val="single" w:sz="4" w:space="0" w:color="auto"/>
              <w:right w:val="nil"/>
            </w:tcBorders>
            <w:vAlign w:val="center"/>
          </w:tcPr>
          <w:p w14:paraId="41CF4F1B" w14:textId="77777777" w:rsidR="00B66664" w:rsidRDefault="00B66664">
            <w:pPr>
              <w:ind w:firstLineChars="0" w:firstLine="0"/>
              <w:jc w:val="center"/>
              <w:rPr>
                <w:sz w:val="24"/>
              </w:rPr>
            </w:pPr>
          </w:p>
        </w:tc>
        <w:tc>
          <w:tcPr>
            <w:tcW w:w="1152" w:type="dxa"/>
            <w:tcBorders>
              <w:top w:val="single" w:sz="4" w:space="0" w:color="auto"/>
              <w:left w:val="nil"/>
              <w:bottom w:val="single" w:sz="4" w:space="0" w:color="auto"/>
              <w:right w:val="nil"/>
            </w:tcBorders>
            <w:vAlign w:val="center"/>
          </w:tcPr>
          <w:p w14:paraId="491A858A" w14:textId="77777777" w:rsidR="00B66664" w:rsidRDefault="00264D9A">
            <w:pPr>
              <w:ind w:firstLineChars="0" w:firstLine="0"/>
              <w:jc w:val="center"/>
              <w:rPr>
                <w:rFonts w:ascii="宋体" w:hAnsi="宋体" w:cs="宋体"/>
                <w:color w:val="000000"/>
                <w:sz w:val="22"/>
                <w:szCs w:val="22"/>
              </w:rPr>
            </w:pPr>
            <w:r>
              <w:rPr>
                <w:rFonts w:hint="eastAsia"/>
                <w:color w:val="000000"/>
                <w:sz w:val="22"/>
                <w:szCs w:val="22"/>
              </w:rPr>
              <w:t>0.9609</w:t>
            </w:r>
          </w:p>
        </w:tc>
      </w:tr>
      <w:tr w:rsidR="00B66664" w14:paraId="746EC07F" w14:textId="77777777">
        <w:trPr>
          <w:trHeight w:val="558"/>
          <w:jc w:val="center"/>
        </w:trPr>
        <w:tc>
          <w:tcPr>
            <w:tcW w:w="1276" w:type="dxa"/>
            <w:tcBorders>
              <w:top w:val="single" w:sz="4" w:space="0" w:color="auto"/>
              <w:left w:val="nil"/>
              <w:bottom w:val="single" w:sz="4" w:space="0" w:color="auto"/>
              <w:right w:val="nil"/>
            </w:tcBorders>
            <w:vAlign w:val="center"/>
          </w:tcPr>
          <w:p w14:paraId="281F7B18" w14:textId="77777777" w:rsidR="00B66664" w:rsidRDefault="00264D9A">
            <w:pPr>
              <w:ind w:firstLineChars="0" w:firstLine="0"/>
              <w:jc w:val="center"/>
              <w:rPr>
                <w:sz w:val="24"/>
              </w:rPr>
            </w:pPr>
            <w:r>
              <w:rPr>
                <w:sz w:val="24"/>
              </w:rPr>
              <w:t>4</w:t>
            </w:r>
          </w:p>
        </w:tc>
        <w:tc>
          <w:tcPr>
            <w:tcW w:w="1134" w:type="dxa"/>
            <w:vMerge/>
            <w:tcBorders>
              <w:top w:val="single" w:sz="4" w:space="0" w:color="auto"/>
              <w:left w:val="nil"/>
              <w:bottom w:val="single" w:sz="4" w:space="0" w:color="auto"/>
              <w:right w:val="nil"/>
            </w:tcBorders>
            <w:vAlign w:val="center"/>
          </w:tcPr>
          <w:p w14:paraId="5AC20323" w14:textId="77777777" w:rsidR="00B66664" w:rsidRDefault="00B66664">
            <w:pPr>
              <w:ind w:firstLineChars="0" w:firstLine="0"/>
              <w:jc w:val="center"/>
              <w:rPr>
                <w:sz w:val="24"/>
              </w:rPr>
            </w:pPr>
          </w:p>
        </w:tc>
        <w:tc>
          <w:tcPr>
            <w:tcW w:w="1275" w:type="dxa"/>
            <w:tcBorders>
              <w:top w:val="single" w:sz="4" w:space="0" w:color="auto"/>
              <w:left w:val="nil"/>
              <w:bottom w:val="single" w:sz="4" w:space="0" w:color="auto"/>
              <w:right w:val="nil"/>
            </w:tcBorders>
            <w:vAlign w:val="center"/>
          </w:tcPr>
          <w:p w14:paraId="5FFF3120" w14:textId="77777777" w:rsidR="00B66664" w:rsidRDefault="00264D9A">
            <w:pPr>
              <w:ind w:firstLineChars="0" w:firstLine="0"/>
              <w:jc w:val="center"/>
              <w:rPr>
                <w:rFonts w:ascii="宋体" w:hAnsi="宋体" w:cs="宋体"/>
                <w:color w:val="000000"/>
                <w:sz w:val="22"/>
                <w:szCs w:val="22"/>
              </w:rPr>
            </w:pPr>
            <w:r>
              <w:rPr>
                <w:rFonts w:hint="eastAsia"/>
                <w:color w:val="000000"/>
                <w:sz w:val="22"/>
                <w:szCs w:val="22"/>
              </w:rPr>
              <w:t>0.0886</w:t>
            </w:r>
          </w:p>
        </w:tc>
        <w:tc>
          <w:tcPr>
            <w:tcW w:w="1134" w:type="dxa"/>
            <w:vMerge/>
            <w:tcBorders>
              <w:top w:val="single" w:sz="4" w:space="0" w:color="auto"/>
              <w:left w:val="nil"/>
              <w:bottom w:val="single" w:sz="4" w:space="0" w:color="auto"/>
              <w:right w:val="nil"/>
            </w:tcBorders>
            <w:vAlign w:val="center"/>
          </w:tcPr>
          <w:p w14:paraId="5C0C898A" w14:textId="77777777" w:rsidR="00B66664" w:rsidRDefault="00B66664">
            <w:pPr>
              <w:ind w:firstLineChars="0" w:firstLine="0"/>
              <w:jc w:val="center"/>
              <w:rPr>
                <w:sz w:val="24"/>
              </w:rPr>
            </w:pPr>
          </w:p>
        </w:tc>
        <w:tc>
          <w:tcPr>
            <w:tcW w:w="1134" w:type="dxa"/>
            <w:tcBorders>
              <w:top w:val="single" w:sz="4" w:space="0" w:color="auto"/>
              <w:left w:val="nil"/>
              <w:bottom w:val="single" w:sz="4" w:space="0" w:color="auto"/>
              <w:right w:val="nil"/>
            </w:tcBorders>
            <w:vAlign w:val="center"/>
          </w:tcPr>
          <w:p w14:paraId="68056911" w14:textId="77777777" w:rsidR="00B66664" w:rsidRDefault="00264D9A">
            <w:pPr>
              <w:ind w:firstLineChars="0" w:firstLine="0"/>
              <w:jc w:val="center"/>
              <w:rPr>
                <w:rFonts w:ascii="宋体" w:hAnsi="宋体" w:cs="宋体"/>
                <w:color w:val="000000"/>
                <w:sz w:val="22"/>
                <w:szCs w:val="22"/>
              </w:rPr>
            </w:pPr>
            <w:r>
              <w:rPr>
                <w:rFonts w:hint="eastAsia"/>
                <w:color w:val="000000"/>
                <w:sz w:val="22"/>
                <w:szCs w:val="22"/>
              </w:rPr>
              <w:t>0.4702</w:t>
            </w:r>
          </w:p>
        </w:tc>
        <w:tc>
          <w:tcPr>
            <w:tcW w:w="1108" w:type="dxa"/>
            <w:vMerge/>
            <w:tcBorders>
              <w:top w:val="single" w:sz="4" w:space="0" w:color="auto"/>
              <w:left w:val="nil"/>
              <w:bottom w:val="single" w:sz="4" w:space="0" w:color="auto"/>
              <w:right w:val="nil"/>
            </w:tcBorders>
            <w:vAlign w:val="center"/>
          </w:tcPr>
          <w:p w14:paraId="329CADA2" w14:textId="77777777" w:rsidR="00B66664" w:rsidRDefault="00B66664">
            <w:pPr>
              <w:ind w:firstLineChars="0" w:firstLine="0"/>
              <w:jc w:val="center"/>
              <w:rPr>
                <w:sz w:val="24"/>
              </w:rPr>
            </w:pPr>
          </w:p>
        </w:tc>
        <w:tc>
          <w:tcPr>
            <w:tcW w:w="1152" w:type="dxa"/>
            <w:tcBorders>
              <w:top w:val="single" w:sz="4" w:space="0" w:color="auto"/>
              <w:left w:val="nil"/>
              <w:bottom w:val="single" w:sz="4" w:space="0" w:color="auto"/>
              <w:right w:val="nil"/>
            </w:tcBorders>
            <w:vAlign w:val="center"/>
          </w:tcPr>
          <w:p w14:paraId="3FBDEE60" w14:textId="77777777" w:rsidR="00B66664" w:rsidRDefault="00264D9A">
            <w:pPr>
              <w:ind w:firstLineChars="0" w:firstLine="0"/>
              <w:jc w:val="center"/>
              <w:rPr>
                <w:rFonts w:ascii="宋体" w:hAnsi="宋体" w:cs="宋体"/>
                <w:color w:val="000000"/>
                <w:sz w:val="22"/>
                <w:szCs w:val="22"/>
              </w:rPr>
            </w:pPr>
            <w:r>
              <w:rPr>
                <w:rFonts w:hint="eastAsia"/>
                <w:color w:val="000000"/>
                <w:sz w:val="22"/>
                <w:szCs w:val="22"/>
              </w:rPr>
              <w:t>0.9496</w:t>
            </w:r>
          </w:p>
        </w:tc>
      </w:tr>
      <w:tr w:rsidR="00B66664" w14:paraId="52041C7E" w14:textId="77777777">
        <w:trPr>
          <w:trHeight w:val="558"/>
          <w:jc w:val="center"/>
        </w:trPr>
        <w:tc>
          <w:tcPr>
            <w:tcW w:w="1276" w:type="dxa"/>
            <w:tcBorders>
              <w:top w:val="single" w:sz="4" w:space="0" w:color="auto"/>
              <w:left w:val="nil"/>
              <w:bottom w:val="single" w:sz="4" w:space="0" w:color="auto"/>
              <w:right w:val="nil"/>
            </w:tcBorders>
            <w:vAlign w:val="center"/>
          </w:tcPr>
          <w:p w14:paraId="57DBD05B" w14:textId="77777777" w:rsidR="00B66664" w:rsidRDefault="00264D9A">
            <w:pPr>
              <w:ind w:firstLineChars="0" w:firstLine="0"/>
              <w:jc w:val="center"/>
              <w:rPr>
                <w:sz w:val="24"/>
              </w:rPr>
            </w:pPr>
            <w:r>
              <w:rPr>
                <w:sz w:val="24"/>
              </w:rPr>
              <w:t>5</w:t>
            </w:r>
          </w:p>
        </w:tc>
        <w:tc>
          <w:tcPr>
            <w:tcW w:w="1134" w:type="dxa"/>
            <w:vMerge/>
            <w:tcBorders>
              <w:top w:val="single" w:sz="4" w:space="0" w:color="auto"/>
              <w:left w:val="nil"/>
              <w:bottom w:val="single" w:sz="4" w:space="0" w:color="auto"/>
              <w:right w:val="nil"/>
            </w:tcBorders>
            <w:vAlign w:val="center"/>
          </w:tcPr>
          <w:p w14:paraId="26D51597" w14:textId="77777777" w:rsidR="00B66664" w:rsidRDefault="00B66664">
            <w:pPr>
              <w:ind w:firstLineChars="0" w:firstLine="0"/>
              <w:jc w:val="center"/>
              <w:rPr>
                <w:sz w:val="24"/>
              </w:rPr>
            </w:pPr>
          </w:p>
        </w:tc>
        <w:tc>
          <w:tcPr>
            <w:tcW w:w="1275" w:type="dxa"/>
            <w:tcBorders>
              <w:top w:val="single" w:sz="4" w:space="0" w:color="auto"/>
              <w:left w:val="nil"/>
              <w:bottom w:val="single" w:sz="4" w:space="0" w:color="auto"/>
              <w:right w:val="nil"/>
            </w:tcBorders>
            <w:vAlign w:val="center"/>
          </w:tcPr>
          <w:p w14:paraId="57AA1639" w14:textId="77777777" w:rsidR="00B66664" w:rsidRDefault="00264D9A">
            <w:pPr>
              <w:ind w:firstLineChars="0" w:firstLine="0"/>
              <w:jc w:val="center"/>
              <w:rPr>
                <w:rFonts w:ascii="宋体" w:hAnsi="宋体" w:cs="宋体"/>
                <w:color w:val="000000"/>
                <w:sz w:val="22"/>
                <w:szCs w:val="22"/>
              </w:rPr>
            </w:pPr>
            <w:r>
              <w:rPr>
                <w:rFonts w:hint="eastAsia"/>
                <w:color w:val="000000"/>
                <w:sz w:val="22"/>
                <w:szCs w:val="22"/>
              </w:rPr>
              <w:t>0.0864</w:t>
            </w:r>
          </w:p>
        </w:tc>
        <w:tc>
          <w:tcPr>
            <w:tcW w:w="1134" w:type="dxa"/>
            <w:vMerge/>
            <w:tcBorders>
              <w:top w:val="single" w:sz="4" w:space="0" w:color="auto"/>
              <w:left w:val="nil"/>
              <w:bottom w:val="single" w:sz="4" w:space="0" w:color="auto"/>
              <w:right w:val="nil"/>
            </w:tcBorders>
            <w:vAlign w:val="center"/>
          </w:tcPr>
          <w:p w14:paraId="332376C7" w14:textId="77777777" w:rsidR="00B66664" w:rsidRDefault="00B66664">
            <w:pPr>
              <w:ind w:firstLineChars="0" w:firstLine="0"/>
              <w:jc w:val="center"/>
              <w:rPr>
                <w:sz w:val="24"/>
              </w:rPr>
            </w:pPr>
          </w:p>
        </w:tc>
        <w:tc>
          <w:tcPr>
            <w:tcW w:w="1134" w:type="dxa"/>
            <w:tcBorders>
              <w:top w:val="single" w:sz="4" w:space="0" w:color="auto"/>
              <w:left w:val="nil"/>
              <w:bottom w:val="single" w:sz="4" w:space="0" w:color="auto"/>
              <w:right w:val="nil"/>
            </w:tcBorders>
            <w:vAlign w:val="center"/>
          </w:tcPr>
          <w:p w14:paraId="7290839C" w14:textId="77777777" w:rsidR="00B66664" w:rsidRDefault="00264D9A">
            <w:pPr>
              <w:ind w:firstLineChars="0" w:firstLine="0"/>
              <w:jc w:val="center"/>
              <w:rPr>
                <w:rFonts w:ascii="宋体" w:hAnsi="宋体" w:cs="宋体"/>
                <w:color w:val="000000"/>
                <w:sz w:val="22"/>
                <w:szCs w:val="22"/>
              </w:rPr>
            </w:pPr>
            <w:r>
              <w:rPr>
                <w:rFonts w:hint="eastAsia"/>
                <w:color w:val="000000"/>
                <w:sz w:val="22"/>
                <w:szCs w:val="22"/>
              </w:rPr>
              <w:t>0.4816</w:t>
            </w:r>
          </w:p>
        </w:tc>
        <w:tc>
          <w:tcPr>
            <w:tcW w:w="1108" w:type="dxa"/>
            <w:vMerge/>
            <w:tcBorders>
              <w:top w:val="single" w:sz="4" w:space="0" w:color="auto"/>
              <w:left w:val="nil"/>
              <w:bottom w:val="single" w:sz="4" w:space="0" w:color="auto"/>
              <w:right w:val="nil"/>
            </w:tcBorders>
            <w:vAlign w:val="center"/>
          </w:tcPr>
          <w:p w14:paraId="2D15F747" w14:textId="77777777" w:rsidR="00B66664" w:rsidRDefault="00B66664">
            <w:pPr>
              <w:ind w:firstLineChars="0" w:firstLine="0"/>
              <w:jc w:val="center"/>
              <w:rPr>
                <w:sz w:val="24"/>
              </w:rPr>
            </w:pPr>
          </w:p>
        </w:tc>
        <w:tc>
          <w:tcPr>
            <w:tcW w:w="1152" w:type="dxa"/>
            <w:tcBorders>
              <w:top w:val="single" w:sz="4" w:space="0" w:color="auto"/>
              <w:left w:val="nil"/>
              <w:bottom w:val="single" w:sz="4" w:space="0" w:color="auto"/>
              <w:right w:val="nil"/>
            </w:tcBorders>
            <w:vAlign w:val="center"/>
          </w:tcPr>
          <w:p w14:paraId="3EBC1F28" w14:textId="77777777" w:rsidR="00B66664" w:rsidRDefault="00264D9A">
            <w:pPr>
              <w:ind w:firstLineChars="0" w:firstLine="0"/>
              <w:jc w:val="center"/>
              <w:rPr>
                <w:rFonts w:ascii="宋体" w:hAnsi="宋体" w:cs="宋体"/>
                <w:color w:val="000000"/>
                <w:sz w:val="22"/>
                <w:szCs w:val="22"/>
              </w:rPr>
            </w:pPr>
            <w:r>
              <w:rPr>
                <w:rFonts w:hint="eastAsia"/>
                <w:color w:val="000000"/>
                <w:sz w:val="22"/>
                <w:szCs w:val="22"/>
              </w:rPr>
              <w:t>0.9783</w:t>
            </w:r>
          </w:p>
        </w:tc>
      </w:tr>
      <w:tr w:rsidR="00B66664" w14:paraId="7AC27C99" w14:textId="77777777">
        <w:trPr>
          <w:trHeight w:val="560"/>
          <w:jc w:val="center"/>
        </w:trPr>
        <w:tc>
          <w:tcPr>
            <w:tcW w:w="1276" w:type="dxa"/>
            <w:tcBorders>
              <w:top w:val="single" w:sz="4" w:space="0" w:color="auto"/>
              <w:left w:val="nil"/>
              <w:bottom w:val="single" w:sz="4" w:space="0" w:color="auto"/>
              <w:right w:val="nil"/>
            </w:tcBorders>
            <w:vAlign w:val="center"/>
          </w:tcPr>
          <w:p w14:paraId="02C5FB3F" w14:textId="77777777" w:rsidR="00B66664" w:rsidRDefault="00264D9A">
            <w:pPr>
              <w:ind w:firstLineChars="0" w:firstLine="0"/>
              <w:jc w:val="center"/>
              <w:rPr>
                <w:sz w:val="24"/>
              </w:rPr>
            </w:pPr>
            <w:r>
              <w:rPr>
                <w:sz w:val="24"/>
              </w:rPr>
              <w:t>6</w:t>
            </w:r>
          </w:p>
        </w:tc>
        <w:tc>
          <w:tcPr>
            <w:tcW w:w="1134" w:type="dxa"/>
            <w:vMerge/>
            <w:tcBorders>
              <w:top w:val="single" w:sz="4" w:space="0" w:color="auto"/>
              <w:left w:val="nil"/>
              <w:bottom w:val="single" w:sz="4" w:space="0" w:color="auto"/>
              <w:right w:val="nil"/>
            </w:tcBorders>
            <w:vAlign w:val="center"/>
          </w:tcPr>
          <w:p w14:paraId="004461D4" w14:textId="77777777" w:rsidR="00B66664" w:rsidRDefault="00B66664">
            <w:pPr>
              <w:ind w:firstLineChars="0" w:firstLine="0"/>
              <w:jc w:val="center"/>
              <w:rPr>
                <w:sz w:val="24"/>
              </w:rPr>
            </w:pPr>
          </w:p>
        </w:tc>
        <w:tc>
          <w:tcPr>
            <w:tcW w:w="1275" w:type="dxa"/>
            <w:tcBorders>
              <w:top w:val="single" w:sz="4" w:space="0" w:color="auto"/>
              <w:left w:val="nil"/>
              <w:bottom w:val="single" w:sz="4" w:space="0" w:color="auto"/>
              <w:right w:val="nil"/>
            </w:tcBorders>
            <w:vAlign w:val="center"/>
          </w:tcPr>
          <w:p w14:paraId="5A69AF80" w14:textId="77777777" w:rsidR="00B66664" w:rsidRDefault="00264D9A">
            <w:pPr>
              <w:ind w:firstLineChars="0" w:firstLine="0"/>
              <w:jc w:val="center"/>
              <w:rPr>
                <w:rFonts w:ascii="宋体" w:hAnsi="宋体" w:cs="宋体"/>
                <w:color w:val="000000"/>
                <w:sz w:val="22"/>
                <w:szCs w:val="22"/>
              </w:rPr>
            </w:pPr>
            <w:r>
              <w:rPr>
                <w:rFonts w:hint="eastAsia"/>
                <w:color w:val="000000"/>
                <w:sz w:val="22"/>
                <w:szCs w:val="22"/>
              </w:rPr>
              <w:t>0.0874</w:t>
            </w:r>
          </w:p>
        </w:tc>
        <w:tc>
          <w:tcPr>
            <w:tcW w:w="1134" w:type="dxa"/>
            <w:vMerge/>
            <w:tcBorders>
              <w:top w:val="single" w:sz="4" w:space="0" w:color="auto"/>
              <w:left w:val="nil"/>
              <w:bottom w:val="single" w:sz="4" w:space="0" w:color="auto"/>
              <w:right w:val="nil"/>
            </w:tcBorders>
            <w:vAlign w:val="center"/>
          </w:tcPr>
          <w:p w14:paraId="237E95CA" w14:textId="77777777" w:rsidR="00B66664" w:rsidRDefault="00B66664">
            <w:pPr>
              <w:ind w:firstLineChars="0" w:firstLine="0"/>
              <w:jc w:val="center"/>
              <w:rPr>
                <w:sz w:val="24"/>
              </w:rPr>
            </w:pPr>
          </w:p>
        </w:tc>
        <w:tc>
          <w:tcPr>
            <w:tcW w:w="1134" w:type="dxa"/>
            <w:tcBorders>
              <w:top w:val="single" w:sz="4" w:space="0" w:color="auto"/>
              <w:left w:val="nil"/>
              <w:bottom w:val="single" w:sz="4" w:space="0" w:color="auto"/>
              <w:right w:val="nil"/>
            </w:tcBorders>
            <w:vAlign w:val="center"/>
          </w:tcPr>
          <w:p w14:paraId="4A453D39" w14:textId="77777777" w:rsidR="00B66664" w:rsidRDefault="00264D9A">
            <w:pPr>
              <w:ind w:firstLineChars="0" w:firstLine="0"/>
              <w:jc w:val="center"/>
              <w:rPr>
                <w:rFonts w:ascii="宋体" w:hAnsi="宋体" w:cs="宋体"/>
                <w:color w:val="000000"/>
                <w:sz w:val="22"/>
                <w:szCs w:val="22"/>
              </w:rPr>
            </w:pPr>
            <w:r>
              <w:rPr>
                <w:rFonts w:hint="eastAsia"/>
                <w:color w:val="000000"/>
                <w:sz w:val="22"/>
                <w:szCs w:val="22"/>
              </w:rPr>
              <w:t>0.4834</w:t>
            </w:r>
          </w:p>
        </w:tc>
        <w:tc>
          <w:tcPr>
            <w:tcW w:w="1108" w:type="dxa"/>
            <w:vMerge/>
            <w:tcBorders>
              <w:top w:val="single" w:sz="4" w:space="0" w:color="auto"/>
              <w:left w:val="nil"/>
              <w:bottom w:val="single" w:sz="4" w:space="0" w:color="auto"/>
              <w:right w:val="nil"/>
            </w:tcBorders>
            <w:vAlign w:val="center"/>
          </w:tcPr>
          <w:p w14:paraId="5D4AA18D" w14:textId="77777777" w:rsidR="00B66664" w:rsidRDefault="00B66664">
            <w:pPr>
              <w:ind w:firstLineChars="0" w:firstLine="0"/>
              <w:jc w:val="center"/>
              <w:rPr>
                <w:sz w:val="24"/>
              </w:rPr>
            </w:pPr>
          </w:p>
        </w:tc>
        <w:tc>
          <w:tcPr>
            <w:tcW w:w="1152" w:type="dxa"/>
            <w:tcBorders>
              <w:top w:val="single" w:sz="4" w:space="0" w:color="auto"/>
              <w:left w:val="nil"/>
              <w:bottom w:val="single" w:sz="4" w:space="0" w:color="auto"/>
              <w:right w:val="nil"/>
            </w:tcBorders>
            <w:vAlign w:val="center"/>
          </w:tcPr>
          <w:p w14:paraId="13248301" w14:textId="77777777" w:rsidR="00B66664" w:rsidRDefault="00264D9A">
            <w:pPr>
              <w:ind w:firstLineChars="0" w:firstLine="0"/>
              <w:jc w:val="center"/>
              <w:rPr>
                <w:rFonts w:ascii="宋体" w:hAnsi="宋体" w:cs="宋体"/>
                <w:color w:val="000000"/>
                <w:sz w:val="22"/>
                <w:szCs w:val="22"/>
              </w:rPr>
            </w:pPr>
            <w:r>
              <w:rPr>
                <w:rFonts w:hint="eastAsia"/>
                <w:color w:val="000000"/>
                <w:sz w:val="22"/>
                <w:szCs w:val="22"/>
              </w:rPr>
              <w:t>0.9547</w:t>
            </w:r>
          </w:p>
        </w:tc>
      </w:tr>
      <w:tr w:rsidR="00B66664" w14:paraId="6155DD8D" w14:textId="77777777">
        <w:trPr>
          <w:trHeight w:val="767"/>
          <w:jc w:val="center"/>
        </w:trPr>
        <w:tc>
          <w:tcPr>
            <w:tcW w:w="1276" w:type="dxa"/>
            <w:tcBorders>
              <w:top w:val="single" w:sz="4" w:space="0" w:color="auto"/>
              <w:left w:val="nil"/>
              <w:bottom w:val="single" w:sz="4" w:space="0" w:color="auto"/>
              <w:right w:val="nil"/>
            </w:tcBorders>
            <w:vAlign w:val="center"/>
          </w:tcPr>
          <w:p w14:paraId="1233057A" w14:textId="77777777" w:rsidR="00B66664" w:rsidRDefault="00264D9A">
            <w:pPr>
              <w:ind w:firstLineChars="0" w:firstLine="0"/>
              <w:jc w:val="center"/>
              <w:rPr>
                <w:sz w:val="24"/>
              </w:rPr>
            </w:pPr>
            <w:r>
              <w:rPr>
                <w:rFonts w:hAnsiTheme="minorEastAsia"/>
                <w:sz w:val="24"/>
              </w:rPr>
              <w:t>平均</w:t>
            </w:r>
            <w:r>
              <w:rPr>
                <w:sz w:val="24"/>
              </w:rPr>
              <w:t>/mg</w:t>
            </w:r>
          </w:p>
        </w:tc>
        <w:tc>
          <w:tcPr>
            <w:tcW w:w="1134" w:type="dxa"/>
            <w:tcBorders>
              <w:top w:val="single" w:sz="4" w:space="0" w:color="auto"/>
              <w:left w:val="nil"/>
              <w:bottom w:val="single" w:sz="4" w:space="0" w:color="auto"/>
              <w:right w:val="nil"/>
            </w:tcBorders>
            <w:vAlign w:val="center"/>
          </w:tcPr>
          <w:p w14:paraId="4A65D197" w14:textId="77777777" w:rsidR="00B66664" w:rsidRDefault="00264D9A">
            <w:pPr>
              <w:ind w:firstLineChars="0" w:firstLine="0"/>
              <w:jc w:val="center"/>
              <w:rPr>
                <w:sz w:val="24"/>
              </w:rPr>
            </w:pPr>
            <w:r>
              <w:rPr>
                <w:sz w:val="24"/>
              </w:rPr>
              <w:t>/</w:t>
            </w:r>
          </w:p>
        </w:tc>
        <w:tc>
          <w:tcPr>
            <w:tcW w:w="1275" w:type="dxa"/>
            <w:tcBorders>
              <w:top w:val="single" w:sz="4" w:space="0" w:color="auto"/>
              <w:left w:val="nil"/>
              <w:bottom w:val="single" w:sz="4" w:space="0" w:color="auto"/>
              <w:right w:val="nil"/>
            </w:tcBorders>
            <w:vAlign w:val="center"/>
          </w:tcPr>
          <w:p w14:paraId="3F267781" w14:textId="77777777" w:rsidR="00B66664" w:rsidRDefault="00264D9A">
            <w:pPr>
              <w:ind w:firstLineChars="0" w:firstLine="0"/>
              <w:jc w:val="center"/>
              <w:rPr>
                <w:sz w:val="24"/>
              </w:rPr>
            </w:pPr>
            <w:r>
              <w:rPr>
                <w:rFonts w:hint="eastAsia"/>
                <w:sz w:val="24"/>
              </w:rPr>
              <w:t>0.0900</w:t>
            </w:r>
          </w:p>
        </w:tc>
        <w:tc>
          <w:tcPr>
            <w:tcW w:w="1134" w:type="dxa"/>
            <w:tcBorders>
              <w:top w:val="single" w:sz="4" w:space="0" w:color="auto"/>
              <w:left w:val="nil"/>
              <w:bottom w:val="single" w:sz="4" w:space="0" w:color="auto"/>
              <w:right w:val="nil"/>
            </w:tcBorders>
            <w:vAlign w:val="center"/>
          </w:tcPr>
          <w:p w14:paraId="41C36E0C" w14:textId="77777777" w:rsidR="00B66664" w:rsidRDefault="00264D9A">
            <w:pPr>
              <w:ind w:firstLineChars="0" w:firstLine="0"/>
              <w:jc w:val="center"/>
              <w:rPr>
                <w:sz w:val="24"/>
              </w:rPr>
            </w:pPr>
            <w:r>
              <w:rPr>
                <w:sz w:val="24"/>
              </w:rPr>
              <w:t>/</w:t>
            </w:r>
          </w:p>
        </w:tc>
        <w:tc>
          <w:tcPr>
            <w:tcW w:w="1134" w:type="dxa"/>
            <w:tcBorders>
              <w:top w:val="single" w:sz="4" w:space="0" w:color="auto"/>
              <w:left w:val="nil"/>
              <w:bottom w:val="single" w:sz="4" w:space="0" w:color="auto"/>
              <w:right w:val="nil"/>
            </w:tcBorders>
            <w:vAlign w:val="center"/>
          </w:tcPr>
          <w:p w14:paraId="0161A891" w14:textId="77777777" w:rsidR="00B66664" w:rsidRDefault="00264D9A">
            <w:pPr>
              <w:ind w:firstLineChars="0" w:firstLine="0"/>
              <w:jc w:val="center"/>
              <w:rPr>
                <w:sz w:val="24"/>
              </w:rPr>
            </w:pPr>
            <w:r>
              <w:rPr>
                <w:rFonts w:hint="eastAsia"/>
                <w:sz w:val="24"/>
              </w:rPr>
              <w:t>0.4817</w:t>
            </w:r>
          </w:p>
        </w:tc>
        <w:tc>
          <w:tcPr>
            <w:tcW w:w="1108" w:type="dxa"/>
            <w:tcBorders>
              <w:top w:val="single" w:sz="4" w:space="0" w:color="auto"/>
              <w:left w:val="nil"/>
              <w:bottom w:val="single" w:sz="4" w:space="0" w:color="auto"/>
              <w:right w:val="nil"/>
            </w:tcBorders>
            <w:vAlign w:val="center"/>
          </w:tcPr>
          <w:p w14:paraId="1A8C6CDD" w14:textId="77777777" w:rsidR="00B66664" w:rsidRDefault="00264D9A">
            <w:pPr>
              <w:ind w:firstLineChars="0" w:firstLine="0"/>
              <w:jc w:val="center"/>
              <w:rPr>
                <w:sz w:val="24"/>
              </w:rPr>
            </w:pPr>
            <w:r>
              <w:rPr>
                <w:sz w:val="24"/>
              </w:rPr>
              <w:t>/</w:t>
            </w:r>
          </w:p>
        </w:tc>
        <w:tc>
          <w:tcPr>
            <w:tcW w:w="1152" w:type="dxa"/>
            <w:tcBorders>
              <w:top w:val="single" w:sz="4" w:space="0" w:color="auto"/>
              <w:left w:val="nil"/>
              <w:bottom w:val="single" w:sz="4" w:space="0" w:color="auto"/>
              <w:right w:val="nil"/>
            </w:tcBorders>
            <w:vAlign w:val="center"/>
          </w:tcPr>
          <w:p w14:paraId="183917E1" w14:textId="77777777" w:rsidR="00B66664" w:rsidRDefault="00264D9A">
            <w:pPr>
              <w:ind w:firstLineChars="0" w:firstLine="0"/>
              <w:jc w:val="center"/>
              <w:rPr>
                <w:sz w:val="24"/>
              </w:rPr>
            </w:pPr>
            <w:r>
              <w:rPr>
                <w:rFonts w:hint="eastAsia"/>
                <w:sz w:val="24"/>
              </w:rPr>
              <w:t>0.9674</w:t>
            </w:r>
          </w:p>
        </w:tc>
      </w:tr>
      <w:tr w:rsidR="00B66664" w14:paraId="7E7F1B53" w14:textId="77777777">
        <w:trPr>
          <w:trHeight w:val="722"/>
          <w:jc w:val="center"/>
        </w:trPr>
        <w:tc>
          <w:tcPr>
            <w:tcW w:w="1276" w:type="dxa"/>
            <w:tcBorders>
              <w:top w:val="single" w:sz="4" w:space="0" w:color="auto"/>
              <w:left w:val="nil"/>
              <w:right w:val="nil"/>
            </w:tcBorders>
            <w:vAlign w:val="center"/>
          </w:tcPr>
          <w:p w14:paraId="3621655E" w14:textId="77777777" w:rsidR="00B66664" w:rsidRDefault="00264D9A">
            <w:pPr>
              <w:ind w:firstLineChars="0" w:firstLine="0"/>
              <w:jc w:val="center"/>
              <w:rPr>
                <w:sz w:val="24"/>
              </w:rPr>
            </w:pPr>
            <w:r>
              <w:rPr>
                <w:rFonts w:hAnsiTheme="minorEastAsia"/>
                <w:sz w:val="24"/>
              </w:rPr>
              <w:t>回收率</w:t>
            </w:r>
            <w:r>
              <w:rPr>
                <w:rFonts w:hint="eastAsia"/>
                <w:sz w:val="24"/>
              </w:rPr>
              <w:t>/</w:t>
            </w:r>
            <w:r>
              <w:rPr>
                <w:sz w:val="24"/>
              </w:rPr>
              <w:t>%</w:t>
            </w:r>
          </w:p>
        </w:tc>
        <w:tc>
          <w:tcPr>
            <w:tcW w:w="2409" w:type="dxa"/>
            <w:gridSpan w:val="2"/>
            <w:tcBorders>
              <w:top w:val="single" w:sz="4" w:space="0" w:color="auto"/>
              <w:left w:val="nil"/>
              <w:right w:val="nil"/>
            </w:tcBorders>
            <w:vAlign w:val="center"/>
          </w:tcPr>
          <w:p w14:paraId="3A3AA1F6" w14:textId="77777777" w:rsidR="00B66664" w:rsidRDefault="00264D9A">
            <w:pPr>
              <w:ind w:firstLineChars="0" w:firstLine="0"/>
              <w:jc w:val="center"/>
              <w:rPr>
                <w:sz w:val="24"/>
              </w:rPr>
            </w:pPr>
            <w:r>
              <w:rPr>
                <w:rFonts w:hint="eastAsia"/>
                <w:sz w:val="24"/>
              </w:rPr>
              <w:t>90.0</w:t>
            </w:r>
          </w:p>
        </w:tc>
        <w:tc>
          <w:tcPr>
            <w:tcW w:w="2268" w:type="dxa"/>
            <w:gridSpan w:val="2"/>
            <w:tcBorders>
              <w:top w:val="single" w:sz="4" w:space="0" w:color="auto"/>
              <w:left w:val="nil"/>
              <w:right w:val="nil"/>
            </w:tcBorders>
            <w:vAlign w:val="center"/>
          </w:tcPr>
          <w:p w14:paraId="766439E6" w14:textId="77777777" w:rsidR="00B66664" w:rsidRDefault="00264D9A">
            <w:pPr>
              <w:ind w:firstLineChars="0" w:firstLine="0"/>
              <w:jc w:val="center"/>
              <w:rPr>
                <w:sz w:val="24"/>
              </w:rPr>
            </w:pPr>
            <w:r>
              <w:rPr>
                <w:rFonts w:hint="eastAsia"/>
                <w:sz w:val="24"/>
              </w:rPr>
              <w:t>96.3</w:t>
            </w:r>
          </w:p>
        </w:tc>
        <w:tc>
          <w:tcPr>
            <w:tcW w:w="2260" w:type="dxa"/>
            <w:gridSpan w:val="2"/>
            <w:tcBorders>
              <w:top w:val="single" w:sz="4" w:space="0" w:color="auto"/>
              <w:left w:val="nil"/>
              <w:right w:val="nil"/>
            </w:tcBorders>
            <w:vAlign w:val="center"/>
          </w:tcPr>
          <w:p w14:paraId="7E0E1D18" w14:textId="77777777" w:rsidR="00B66664" w:rsidRDefault="00264D9A">
            <w:pPr>
              <w:ind w:firstLineChars="0" w:firstLine="0"/>
              <w:jc w:val="center"/>
              <w:rPr>
                <w:sz w:val="24"/>
              </w:rPr>
            </w:pPr>
            <w:r>
              <w:rPr>
                <w:rFonts w:hint="eastAsia"/>
                <w:sz w:val="24"/>
              </w:rPr>
              <w:t>96.7</w:t>
            </w:r>
          </w:p>
        </w:tc>
      </w:tr>
    </w:tbl>
    <w:p w14:paraId="6D4837DC" w14:textId="77777777" w:rsidR="00B66664" w:rsidRDefault="00264D9A">
      <w:pPr>
        <w:pStyle w:val="2"/>
        <w:spacing w:beforeLines="50" w:before="156"/>
      </w:pPr>
      <w:bookmarkStart w:id="24" w:name="_Toc24590"/>
      <w:r>
        <w:rPr>
          <w:rFonts w:hint="eastAsia"/>
        </w:rPr>
        <w:t xml:space="preserve">5.7 </w:t>
      </w:r>
      <w:r>
        <w:rPr>
          <w:rFonts w:hint="eastAsia"/>
        </w:rPr>
        <w:t>实验室间比对实验</w:t>
      </w:r>
      <w:bookmarkEnd w:id="24"/>
    </w:p>
    <w:p w14:paraId="0693E4BE" w14:textId="77777777" w:rsidR="00B66664" w:rsidRDefault="00264D9A">
      <w:pPr>
        <w:autoSpaceDE w:val="0"/>
        <w:autoSpaceDN w:val="0"/>
        <w:adjustRightInd w:val="0"/>
        <w:spacing w:before="156" w:after="156" w:line="360" w:lineRule="auto"/>
        <w:ind w:firstLine="480"/>
        <w:rPr>
          <w:kern w:val="0"/>
          <w:sz w:val="24"/>
          <w:lang w:val="zh-CN"/>
        </w:rPr>
      </w:pPr>
      <w:r>
        <w:rPr>
          <w:kern w:val="0"/>
          <w:sz w:val="24"/>
          <w:lang w:val="zh-CN"/>
        </w:rPr>
        <w:t>选取了</w:t>
      </w:r>
      <w:r>
        <w:rPr>
          <w:rFonts w:hint="eastAsia"/>
          <w:kern w:val="0"/>
          <w:sz w:val="24"/>
        </w:rPr>
        <w:t>3</w:t>
      </w:r>
      <w:r>
        <w:rPr>
          <w:kern w:val="0"/>
          <w:sz w:val="24"/>
          <w:lang w:val="zh-CN"/>
        </w:rPr>
        <w:t>个肥料样品按实验方法和</w:t>
      </w:r>
      <w:r>
        <w:rPr>
          <w:rFonts w:hint="eastAsia"/>
          <w:kern w:val="0"/>
          <w:sz w:val="24"/>
          <w:lang w:val="zh-CN"/>
        </w:rPr>
        <w:t>三家检测机构</w:t>
      </w:r>
      <w:r>
        <w:rPr>
          <w:kern w:val="0"/>
          <w:sz w:val="24"/>
          <w:lang w:val="zh-CN"/>
        </w:rPr>
        <w:t>进行对比验证试验，所得数据</w:t>
      </w:r>
      <w:r>
        <w:rPr>
          <w:rFonts w:hint="eastAsia"/>
          <w:kern w:val="0"/>
          <w:sz w:val="24"/>
          <w:lang w:val="zh-CN"/>
        </w:rPr>
        <w:t>见</w:t>
      </w:r>
      <w:r>
        <w:rPr>
          <w:kern w:val="0"/>
          <w:sz w:val="24"/>
          <w:lang w:val="zh-CN"/>
        </w:rPr>
        <w:t>表</w:t>
      </w:r>
      <w:r>
        <w:rPr>
          <w:rFonts w:hint="eastAsia"/>
          <w:kern w:val="0"/>
          <w:sz w:val="24"/>
        </w:rPr>
        <w:t>9</w:t>
      </w:r>
      <w:r>
        <w:rPr>
          <w:kern w:val="0"/>
          <w:sz w:val="24"/>
          <w:lang w:val="zh-CN"/>
        </w:rPr>
        <w:t>所示</w:t>
      </w:r>
      <w:r>
        <w:rPr>
          <w:rFonts w:hint="eastAsia"/>
          <w:kern w:val="0"/>
          <w:sz w:val="24"/>
          <w:lang w:val="zh-CN"/>
        </w:rPr>
        <w:t>，</w:t>
      </w:r>
      <w:r>
        <w:rPr>
          <w:kern w:val="0"/>
          <w:sz w:val="24"/>
          <w:lang w:val="zh-CN"/>
        </w:rPr>
        <w:t>从测定数据看，</w:t>
      </w:r>
      <w:r>
        <w:rPr>
          <w:rFonts w:hint="eastAsia"/>
          <w:kern w:val="0"/>
          <w:sz w:val="24"/>
          <w:lang w:val="zh-CN"/>
        </w:rPr>
        <w:t>四家</w:t>
      </w:r>
      <w:r>
        <w:rPr>
          <w:kern w:val="0"/>
          <w:sz w:val="24"/>
          <w:lang w:val="zh-CN"/>
        </w:rPr>
        <w:t>检测</w:t>
      </w:r>
      <w:r>
        <w:rPr>
          <w:rFonts w:hint="eastAsia"/>
          <w:kern w:val="0"/>
          <w:sz w:val="24"/>
          <w:lang w:val="zh-CN"/>
        </w:rPr>
        <w:t>机构</w:t>
      </w:r>
      <w:r>
        <w:rPr>
          <w:kern w:val="0"/>
          <w:sz w:val="24"/>
          <w:lang w:val="zh-CN"/>
        </w:rPr>
        <w:t>检测数据基本一致，未超出实验室间的允许误差，满足实验要求。</w:t>
      </w:r>
    </w:p>
    <w:p w14:paraId="72BAFD33" w14:textId="77777777" w:rsidR="00B66664" w:rsidRDefault="00B66664">
      <w:pPr>
        <w:pStyle w:val="a3"/>
        <w:spacing w:after="156"/>
        <w:ind w:firstLine="480"/>
      </w:pPr>
    </w:p>
    <w:p w14:paraId="0A9085DE" w14:textId="77777777" w:rsidR="00B66664" w:rsidRDefault="00264D9A">
      <w:pPr>
        <w:pStyle w:val="a3"/>
        <w:spacing w:after="156"/>
        <w:ind w:firstLine="480"/>
      </w:pPr>
      <w:r>
        <w:lastRenderedPageBreak/>
        <w:t>表</w:t>
      </w:r>
      <w:r>
        <w:rPr>
          <w:rFonts w:hint="eastAsia"/>
        </w:rPr>
        <w:t>9</w:t>
      </w:r>
      <w:r>
        <w:rPr>
          <w:rFonts w:hint="eastAsia"/>
        </w:rPr>
        <w:t>实验室间验证数据汇总表</w:t>
      </w:r>
    </w:p>
    <w:tbl>
      <w:tblPr>
        <w:tblStyle w:val="ac"/>
        <w:tblW w:w="9475" w:type="dxa"/>
        <w:tblLayout w:type="fixed"/>
        <w:tblLook w:val="04A0" w:firstRow="1" w:lastRow="0" w:firstColumn="1" w:lastColumn="0" w:noHBand="0" w:noVBand="1"/>
      </w:tblPr>
      <w:tblGrid>
        <w:gridCol w:w="1335"/>
        <w:gridCol w:w="1009"/>
        <w:gridCol w:w="1813"/>
        <w:gridCol w:w="1787"/>
        <w:gridCol w:w="1759"/>
        <w:gridCol w:w="1772"/>
      </w:tblGrid>
      <w:tr w:rsidR="00B66664" w14:paraId="50C41647" w14:textId="77777777">
        <w:tc>
          <w:tcPr>
            <w:tcW w:w="1335" w:type="dxa"/>
          </w:tcPr>
          <w:p w14:paraId="656C3E55" w14:textId="77777777" w:rsidR="00B66664" w:rsidRDefault="00264D9A">
            <w:pPr>
              <w:spacing w:line="480" w:lineRule="auto"/>
              <w:ind w:firstLineChars="0" w:firstLine="0"/>
              <w:jc w:val="center"/>
              <w:rPr>
                <w:sz w:val="22"/>
                <w:szCs w:val="22"/>
              </w:rPr>
            </w:pPr>
            <w:r>
              <w:rPr>
                <w:rFonts w:hAnsiTheme="minorEastAsia" w:hint="eastAsia"/>
                <w:sz w:val="22"/>
                <w:szCs w:val="22"/>
              </w:rPr>
              <w:t>样品编号</w:t>
            </w:r>
          </w:p>
        </w:tc>
        <w:tc>
          <w:tcPr>
            <w:tcW w:w="1009" w:type="dxa"/>
          </w:tcPr>
          <w:p w14:paraId="04A034EC" w14:textId="77777777" w:rsidR="00B66664" w:rsidRDefault="00264D9A">
            <w:pPr>
              <w:spacing w:line="480" w:lineRule="auto"/>
              <w:ind w:firstLineChars="0" w:firstLine="0"/>
              <w:jc w:val="center"/>
              <w:rPr>
                <w:sz w:val="22"/>
                <w:szCs w:val="22"/>
              </w:rPr>
            </w:pPr>
            <w:r>
              <w:rPr>
                <w:rFonts w:hAnsiTheme="minorEastAsia" w:hint="eastAsia"/>
                <w:sz w:val="22"/>
                <w:szCs w:val="22"/>
              </w:rPr>
              <w:t>化合物</w:t>
            </w:r>
          </w:p>
        </w:tc>
        <w:tc>
          <w:tcPr>
            <w:tcW w:w="1813" w:type="dxa"/>
          </w:tcPr>
          <w:p w14:paraId="111B06BF" w14:textId="77777777" w:rsidR="00B66664" w:rsidRDefault="00264D9A">
            <w:pPr>
              <w:spacing w:line="480" w:lineRule="auto"/>
              <w:ind w:firstLineChars="0" w:firstLine="0"/>
              <w:jc w:val="center"/>
              <w:rPr>
                <w:sz w:val="22"/>
                <w:szCs w:val="22"/>
              </w:rPr>
            </w:pPr>
            <w:r>
              <w:rPr>
                <w:rFonts w:hint="eastAsia"/>
                <w:sz w:val="22"/>
                <w:szCs w:val="22"/>
              </w:rPr>
              <w:t>A</w:t>
            </w:r>
            <w:r>
              <w:rPr>
                <w:rFonts w:hint="eastAsia"/>
                <w:sz w:val="22"/>
                <w:szCs w:val="22"/>
              </w:rPr>
              <w:t>机构测定值</w:t>
            </w:r>
            <w:r>
              <w:rPr>
                <w:rFonts w:hint="eastAsia"/>
                <w:sz w:val="22"/>
                <w:szCs w:val="22"/>
              </w:rPr>
              <w:t>/%</w:t>
            </w:r>
          </w:p>
        </w:tc>
        <w:tc>
          <w:tcPr>
            <w:tcW w:w="1787" w:type="dxa"/>
          </w:tcPr>
          <w:p w14:paraId="54DE8C07" w14:textId="77777777" w:rsidR="00B66664" w:rsidRDefault="00264D9A">
            <w:pPr>
              <w:spacing w:line="480" w:lineRule="auto"/>
              <w:ind w:firstLineChars="0" w:firstLine="0"/>
              <w:jc w:val="center"/>
              <w:rPr>
                <w:sz w:val="22"/>
                <w:szCs w:val="22"/>
              </w:rPr>
            </w:pPr>
            <w:r>
              <w:rPr>
                <w:rFonts w:hint="eastAsia"/>
                <w:sz w:val="22"/>
                <w:szCs w:val="22"/>
              </w:rPr>
              <w:t>B</w:t>
            </w:r>
            <w:r>
              <w:rPr>
                <w:rFonts w:hint="eastAsia"/>
                <w:sz w:val="22"/>
                <w:szCs w:val="22"/>
              </w:rPr>
              <w:t>机构测定值</w:t>
            </w:r>
            <w:r>
              <w:rPr>
                <w:rFonts w:hint="eastAsia"/>
                <w:sz w:val="22"/>
                <w:szCs w:val="22"/>
              </w:rPr>
              <w:t>/%</w:t>
            </w:r>
          </w:p>
        </w:tc>
        <w:tc>
          <w:tcPr>
            <w:tcW w:w="1759" w:type="dxa"/>
          </w:tcPr>
          <w:p w14:paraId="78AEBCAF" w14:textId="77777777" w:rsidR="00B66664" w:rsidRDefault="00264D9A">
            <w:pPr>
              <w:spacing w:line="480" w:lineRule="auto"/>
              <w:ind w:firstLineChars="0" w:firstLine="0"/>
              <w:jc w:val="center"/>
              <w:rPr>
                <w:sz w:val="22"/>
                <w:szCs w:val="22"/>
              </w:rPr>
            </w:pPr>
            <w:r>
              <w:rPr>
                <w:rFonts w:hint="eastAsia"/>
                <w:sz w:val="22"/>
                <w:szCs w:val="22"/>
              </w:rPr>
              <w:t>C</w:t>
            </w:r>
            <w:r>
              <w:rPr>
                <w:rFonts w:hint="eastAsia"/>
                <w:sz w:val="22"/>
                <w:szCs w:val="22"/>
              </w:rPr>
              <w:t>机构测定值</w:t>
            </w:r>
            <w:r>
              <w:rPr>
                <w:rFonts w:hint="eastAsia"/>
                <w:sz w:val="22"/>
                <w:szCs w:val="22"/>
              </w:rPr>
              <w:t>/%</w:t>
            </w:r>
          </w:p>
        </w:tc>
        <w:tc>
          <w:tcPr>
            <w:tcW w:w="1772" w:type="dxa"/>
          </w:tcPr>
          <w:p w14:paraId="6289851A" w14:textId="77777777" w:rsidR="00B66664" w:rsidRDefault="00264D9A">
            <w:pPr>
              <w:spacing w:line="480" w:lineRule="auto"/>
              <w:ind w:firstLineChars="0" w:firstLine="0"/>
              <w:jc w:val="center"/>
              <w:rPr>
                <w:sz w:val="22"/>
                <w:szCs w:val="22"/>
              </w:rPr>
            </w:pPr>
            <w:r>
              <w:rPr>
                <w:rFonts w:hint="eastAsia"/>
                <w:sz w:val="22"/>
                <w:szCs w:val="22"/>
              </w:rPr>
              <w:t>D</w:t>
            </w:r>
            <w:r>
              <w:rPr>
                <w:rFonts w:hint="eastAsia"/>
                <w:sz w:val="22"/>
                <w:szCs w:val="22"/>
              </w:rPr>
              <w:t>机构测定值</w:t>
            </w:r>
            <w:r>
              <w:rPr>
                <w:rFonts w:hint="eastAsia"/>
                <w:sz w:val="22"/>
                <w:szCs w:val="22"/>
              </w:rPr>
              <w:t>/%</w:t>
            </w:r>
          </w:p>
        </w:tc>
      </w:tr>
      <w:tr w:rsidR="00B66664" w14:paraId="33B87E22" w14:textId="77777777">
        <w:tc>
          <w:tcPr>
            <w:tcW w:w="1335" w:type="dxa"/>
          </w:tcPr>
          <w:p w14:paraId="0D9787D9" w14:textId="77777777" w:rsidR="00B66664" w:rsidRDefault="00264D9A">
            <w:pPr>
              <w:spacing w:line="480" w:lineRule="auto"/>
              <w:ind w:firstLineChars="0" w:firstLine="0"/>
              <w:jc w:val="center"/>
              <w:rPr>
                <w:sz w:val="22"/>
                <w:szCs w:val="22"/>
              </w:rPr>
            </w:pPr>
            <w:r>
              <w:rPr>
                <w:rFonts w:hint="eastAsia"/>
                <w:sz w:val="22"/>
                <w:szCs w:val="22"/>
              </w:rPr>
              <w:t>34#</w:t>
            </w:r>
          </w:p>
        </w:tc>
        <w:tc>
          <w:tcPr>
            <w:tcW w:w="1009" w:type="dxa"/>
          </w:tcPr>
          <w:p w14:paraId="09435272" w14:textId="77777777" w:rsidR="00B66664" w:rsidRDefault="00264D9A">
            <w:pPr>
              <w:spacing w:line="480" w:lineRule="auto"/>
              <w:ind w:firstLineChars="0" w:firstLine="0"/>
              <w:jc w:val="center"/>
              <w:rPr>
                <w:sz w:val="22"/>
                <w:szCs w:val="22"/>
              </w:rPr>
            </w:pPr>
            <w:r>
              <w:rPr>
                <w:rFonts w:hint="eastAsia"/>
                <w:sz w:val="22"/>
                <w:szCs w:val="22"/>
              </w:rPr>
              <w:t>胺鲜酯</w:t>
            </w:r>
          </w:p>
        </w:tc>
        <w:tc>
          <w:tcPr>
            <w:tcW w:w="1813" w:type="dxa"/>
          </w:tcPr>
          <w:p w14:paraId="76BEA53F" w14:textId="77777777" w:rsidR="00B66664" w:rsidRDefault="00264D9A">
            <w:pPr>
              <w:spacing w:line="480" w:lineRule="auto"/>
              <w:ind w:firstLineChars="0" w:firstLine="0"/>
              <w:jc w:val="center"/>
              <w:rPr>
                <w:sz w:val="22"/>
                <w:szCs w:val="22"/>
              </w:rPr>
            </w:pPr>
            <w:r>
              <w:rPr>
                <w:rFonts w:hint="eastAsia"/>
                <w:sz w:val="22"/>
                <w:szCs w:val="22"/>
              </w:rPr>
              <w:t>4.9</w:t>
            </w:r>
          </w:p>
        </w:tc>
        <w:tc>
          <w:tcPr>
            <w:tcW w:w="1787" w:type="dxa"/>
          </w:tcPr>
          <w:p w14:paraId="0AD646D2" w14:textId="77777777" w:rsidR="00B66664" w:rsidRDefault="00264D9A">
            <w:pPr>
              <w:spacing w:line="480" w:lineRule="auto"/>
              <w:ind w:firstLineChars="0" w:firstLine="0"/>
              <w:jc w:val="center"/>
              <w:rPr>
                <w:sz w:val="22"/>
                <w:szCs w:val="22"/>
              </w:rPr>
            </w:pPr>
            <w:r>
              <w:rPr>
                <w:rFonts w:hint="eastAsia"/>
                <w:sz w:val="22"/>
                <w:szCs w:val="22"/>
              </w:rPr>
              <w:t>5.0</w:t>
            </w:r>
          </w:p>
        </w:tc>
        <w:tc>
          <w:tcPr>
            <w:tcW w:w="1759" w:type="dxa"/>
          </w:tcPr>
          <w:p w14:paraId="59678D2D" w14:textId="77777777" w:rsidR="00B66664" w:rsidRDefault="00264D9A">
            <w:pPr>
              <w:spacing w:line="480" w:lineRule="auto"/>
              <w:ind w:firstLineChars="0" w:firstLine="0"/>
              <w:jc w:val="center"/>
              <w:rPr>
                <w:sz w:val="22"/>
                <w:szCs w:val="22"/>
              </w:rPr>
            </w:pPr>
            <w:r>
              <w:rPr>
                <w:rFonts w:hint="eastAsia"/>
                <w:sz w:val="22"/>
                <w:szCs w:val="22"/>
              </w:rPr>
              <w:t>4.31</w:t>
            </w:r>
          </w:p>
        </w:tc>
        <w:tc>
          <w:tcPr>
            <w:tcW w:w="1772" w:type="dxa"/>
          </w:tcPr>
          <w:p w14:paraId="749FDB99" w14:textId="77777777" w:rsidR="00B66664" w:rsidRDefault="00264D9A">
            <w:pPr>
              <w:spacing w:line="480" w:lineRule="auto"/>
              <w:ind w:firstLineChars="0" w:firstLine="0"/>
              <w:jc w:val="center"/>
              <w:rPr>
                <w:sz w:val="22"/>
                <w:szCs w:val="22"/>
              </w:rPr>
            </w:pPr>
            <w:r>
              <w:rPr>
                <w:rFonts w:hint="eastAsia"/>
                <w:sz w:val="22"/>
                <w:szCs w:val="22"/>
              </w:rPr>
              <w:t>/</w:t>
            </w:r>
          </w:p>
        </w:tc>
      </w:tr>
      <w:tr w:rsidR="00B66664" w14:paraId="618FA9DE" w14:textId="77777777">
        <w:tc>
          <w:tcPr>
            <w:tcW w:w="1335" w:type="dxa"/>
          </w:tcPr>
          <w:p w14:paraId="47CBBA70" w14:textId="77777777" w:rsidR="00B66664" w:rsidRDefault="00264D9A">
            <w:pPr>
              <w:spacing w:line="480" w:lineRule="auto"/>
              <w:ind w:firstLineChars="0" w:firstLine="0"/>
              <w:jc w:val="center"/>
              <w:rPr>
                <w:sz w:val="22"/>
                <w:szCs w:val="22"/>
              </w:rPr>
            </w:pPr>
            <w:r>
              <w:rPr>
                <w:rFonts w:hint="eastAsia"/>
                <w:sz w:val="22"/>
                <w:szCs w:val="22"/>
              </w:rPr>
              <w:t>108#</w:t>
            </w:r>
          </w:p>
        </w:tc>
        <w:tc>
          <w:tcPr>
            <w:tcW w:w="1009" w:type="dxa"/>
          </w:tcPr>
          <w:p w14:paraId="6DBC3D97" w14:textId="77777777" w:rsidR="00B66664" w:rsidRDefault="00264D9A">
            <w:pPr>
              <w:spacing w:line="480" w:lineRule="auto"/>
              <w:ind w:firstLineChars="0" w:firstLine="0"/>
              <w:jc w:val="center"/>
              <w:rPr>
                <w:sz w:val="22"/>
                <w:szCs w:val="22"/>
              </w:rPr>
            </w:pPr>
            <w:r>
              <w:rPr>
                <w:rFonts w:hint="eastAsia"/>
                <w:sz w:val="22"/>
                <w:szCs w:val="22"/>
              </w:rPr>
              <w:t>多效唑</w:t>
            </w:r>
          </w:p>
        </w:tc>
        <w:tc>
          <w:tcPr>
            <w:tcW w:w="1813" w:type="dxa"/>
          </w:tcPr>
          <w:p w14:paraId="6993C110" w14:textId="77777777" w:rsidR="00B66664" w:rsidRDefault="00264D9A">
            <w:pPr>
              <w:spacing w:line="480" w:lineRule="auto"/>
              <w:ind w:firstLineChars="0" w:firstLine="0"/>
              <w:jc w:val="center"/>
              <w:rPr>
                <w:sz w:val="22"/>
                <w:szCs w:val="22"/>
              </w:rPr>
            </w:pPr>
            <w:r>
              <w:rPr>
                <w:rFonts w:hint="eastAsia"/>
                <w:sz w:val="22"/>
                <w:szCs w:val="22"/>
              </w:rPr>
              <w:t>0.29</w:t>
            </w:r>
          </w:p>
        </w:tc>
        <w:tc>
          <w:tcPr>
            <w:tcW w:w="1787" w:type="dxa"/>
          </w:tcPr>
          <w:p w14:paraId="646282B7" w14:textId="77777777" w:rsidR="00B66664" w:rsidRDefault="00264D9A">
            <w:pPr>
              <w:spacing w:line="480" w:lineRule="auto"/>
              <w:ind w:firstLineChars="0" w:firstLine="0"/>
              <w:jc w:val="center"/>
              <w:rPr>
                <w:sz w:val="22"/>
                <w:szCs w:val="22"/>
              </w:rPr>
            </w:pPr>
            <w:r>
              <w:rPr>
                <w:rFonts w:hint="eastAsia"/>
                <w:sz w:val="22"/>
                <w:szCs w:val="22"/>
              </w:rPr>
              <w:t>0.30</w:t>
            </w:r>
          </w:p>
        </w:tc>
        <w:tc>
          <w:tcPr>
            <w:tcW w:w="1759" w:type="dxa"/>
          </w:tcPr>
          <w:p w14:paraId="323D82A5" w14:textId="77777777" w:rsidR="00B66664" w:rsidRDefault="00264D9A">
            <w:pPr>
              <w:spacing w:line="480" w:lineRule="auto"/>
              <w:ind w:firstLineChars="0" w:firstLine="0"/>
              <w:jc w:val="center"/>
              <w:rPr>
                <w:sz w:val="22"/>
                <w:szCs w:val="22"/>
              </w:rPr>
            </w:pPr>
            <w:r>
              <w:rPr>
                <w:rFonts w:hint="eastAsia"/>
                <w:sz w:val="22"/>
                <w:szCs w:val="22"/>
              </w:rPr>
              <w:t>0.31</w:t>
            </w:r>
          </w:p>
        </w:tc>
        <w:tc>
          <w:tcPr>
            <w:tcW w:w="1772" w:type="dxa"/>
          </w:tcPr>
          <w:p w14:paraId="7CC9B773" w14:textId="77777777" w:rsidR="00B66664" w:rsidRDefault="00264D9A">
            <w:pPr>
              <w:spacing w:line="480" w:lineRule="auto"/>
              <w:ind w:firstLineChars="0" w:firstLine="0"/>
              <w:jc w:val="center"/>
              <w:rPr>
                <w:sz w:val="22"/>
                <w:szCs w:val="22"/>
              </w:rPr>
            </w:pPr>
            <w:r>
              <w:rPr>
                <w:rFonts w:hint="eastAsia"/>
                <w:sz w:val="22"/>
                <w:szCs w:val="22"/>
              </w:rPr>
              <w:t>0.28</w:t>
            </w:r>
          </w:p>
        </w:tc>
      </w:tr>
      <w:tr w:rsidR="00B66664" w14:paraId="14FD4F54" w14:textId="77777777">
        <w:tc>
          <w:tcPr>
            <w:tcW w:w="1335" w:type="dxa"/>
          </w:tcPr>
          <w:p w14:paraId="5F74837C" w14:textId="77777777" w:rsidR="00B66664" w:rsidRDefault="00264D9A">
            <w:pPr>
              <w:spacing w:line="480" w:lineRule="auto"/>
              <w:ind w:firstLineChars="0" w:firstLine="0"/>
              <w:jc w:val="center"/>
              <w:rPr>
                <w:sz w:val="22"/>
                <w:szCs w:val="22"/>
              </w:rPr>
            </w:pPr>
            <w:r>
              <w:rPr>
                <w:rFonts w:hint="eastAsia"/>
                <w:sz w:val="22"/>
                <w:szCs w:val="22"/>
              </w:rPr>
              <w:t>140#</w:t>
            </w:r>
          </w:p>
        </w:tc>
        <w:tc>
          <w:tcPr>
            <w:tcW w:w="1009" w:type="dxa"/>
          </w:tcPr>
          <w:p w14:paraId="13E52416" w14:textId="77777777" w:rsidR="00B66664" w:rsidRDefault="00264D9A">
            <w:pPr>
              <w:spacing w:line="480" w:lineRule="auto"/>
              <w:ind w:firstLineChars="0" w:firstLine="0"/>
              <w:jc w:val="center"/>
              <w:rPr>
                <w:sz w:val="22"/>
                <w:szCs w:val="22"/>
              </w:rPr>
            </w:pPr>
            <w:r>
              <w:rPr>
                <w:rFonts w:hint="eastAsia"/>
                <w:sz w:val="22"/>
                <w:szCs w:val="22"/>
              </w:rPr>
              <w:t>多效唑</w:t>
            </w:r>
          </w:p>
        </w:tc>
        <w:tc>
          <w:tcPr>
            <w:tcW w:w="1813" w:type="dxa"/>
          </w:tcPr>
          <w:p w14:paraId="58A61304" w14:textId="77777777" w:rsidR="00B66664" w:rsidRDefault="00264D9A">
            <w:pPr>
              <w:spacing w:line="480" w:lineRule="auto"/>
              <w:ind w:firstLineChars="0" w:firstLine="0"/>
              <w:jc w:val="center"/>
              <w:rPr>
                <w:sz w:val="22"/>
                <w:szCs w:val="22"/>
              </w:rPr>
            </w:pPr>
            <w:r>
              <w:rPr>
                <w:rFonts w:hint="eastAsia"/>
                <w:sz w:val="22"/>
                <w:szCs w:val="22"/>
              </w:rPr>
              <w:t>0.28</w:t>
            </w:r>
          </w:p>
        </w:tc>
        <w:tc>
          <w:tcPr>
            <w:tcW w:w="1787" w:type="dxa"/>
          </w:tcPr>
          <w:p w14:paraId="7634750A" w14:textId="77777777" w:rsidR="00B66664" w:rsidRDefault="00264D9A">
            <w:pPr>
              <w:spacing w:line="480" w:lineRule="auto"/>
              <w:ind w:firstLineChars="0" w:firstLine="0"/>
              <w:jc w:val="center"/>
              <w:rPr>
                <w:sz w:val="22"/>
                <w:szCs w:val="22"/>
              </w:rPr>
            </w:pPr>
            <w:r>
              <w:rPr>
                <w:rFonts w:hint="eastAsia"/>
                <w:sz w:val="22"/>
                <w:szCs w:val="22"/>
              </w:rPr>
              <w:t>0.29</w:t>
            </w:r>
          </w:p>
        </w:tc>
        <w:tc>
          <w:tcPr>
            <w:tcW w:w="1759" w:type="dxa"/>
          </w:tcPr>
          <w:p w14:paraId="557AF2BF" w14:textId="77777777" w:rsidR="00B66664" w:rsidRDefault="00264D9A">
            <w:pPr>
              <w:spacing w:line="480" w:lineRule="auto"/>
              <w:ind w:firstLineChars="0" w:firstLine="0"/>
              <w:jc w:val="center"/>
              <w:rPr>
                <w:sz w:val="22"/>
                <w:szCs w:val="22"/>
              </w:rPr>
            </w:pPr>
            <w:r>
              <w:rPr>
                <w:rFonts w:hint="eastAsia"/>
                <w:sz w:val="22"/>
                <w:szCs w:val="22"/>
              </w:rPr>
              <w:t>0.32</w:t>
            </w:r>
          </w:p>
        </w:tc>
        <w:tc>
          <w:tcPr>
            <w:tcW w:w="1772" w:type="dxa"/>
          </w:tcPr>
          <w:p w14:paraId="68BF7BCD" w14:textId="77777777" w:rsidR="00B66664" w:rsidRDefault="00264D9A">
            <w:pPr>
              <w:spacing w:line="480" w:lineRule="auto"/>
              <w:ind w:firstLineChars="0" w:firstLine="0"/>
              <w:jc w:val="center"/>
              <w:rPr>
                <w:sz w:val="22"/>
                <w:szCs w:val="22"/>
              </w:rPr>
            </w:pPr>
            <w:r>
              <w:rPr>
                <w:rFonts w:hint="eastAsia"/>
                <w:sz w:val="22"/>
                <w:szCs w:val="22"/>
              </w:rPr>
              <w:t>/</w:t>
            </w:r>
          </w:p>
        </w:tc>
      </w:tr>
    </w:tbl>
    <w:p w14:paraId="54D8F38D" w14:textId="77777777" w:rsidR="00B66664" w:rsidRDefault="00264D9A">
      <w:pPr>
        <w:pStyle w:val="1"/>
      </w:pPr>
      <w:bookmarkStart w:id="25" w:name="_Toc14236"/>
      <w:r>
        <w:rPr>
          <w:rFonts w:hint="eastAsia"/>
        </w:rPr>
        <w:t>六、预期社会经济效益</w:t>
      </w:r>
      <w:bookmarkEnd w:id="25"/>
    </w:p>
    <w:p w14:paraId="22043E3E" w14:textId="77777777" w:rsidR="00B66664" w:rsidRDefault="00264D9A">
      <w:pPr>
        <w:ind w:firstLine="560"/>
      </w:pPr>
      <w:r>
        <w:rPr>
          <w:rFonts w:hint="eastAsia"/>
        </w:rPr>
        <w:t>通过肥料中胺鲜酯、多效唑检测方法标准的建立，可以对肥料中隐形添加胺鲜酯、多效唑现象提供检测依据，同时为药肥中该植物生长调节剂的检测提供依据，及时为监管部门提供相关的检测技术，从而为提升肥料产品质量安全风险监测及预警能力提供了强有力的技术支撑，为政府产品质量安全监管工作保驾护航。进而为促进肥料产品行业健康发展，促进药肥这一新兴行业的快速发展提供规范的行业环境，为保障农业生产安全，有效保护广大农民消费者的合法权益提供技术支撑。</w:t>
      </w:r>
    </w:p>
    <w:p w14:paraId="17D49815" w14:textId="77777777" w:rsidR="00B66664" w:rsidRDefault="00264D9A">
      <w:pPr>
        <w:pStyle w:val="1"/>
      </w:pPr>
      <w:bookmarkStart w:id="26" w:name="_Toc14880"/>
      <w:r>
        <w:rPr>
          <w:rFonts w:hint="eastAsia"/>
        </w:rPr>
        <w:t>参考文献</w:t>
      </w:r>
      <w:bookmarkEnd w:id="26"/>
    </w:p>
    <w:p w14:paraId="51DB2303" w14:textId="77777777" w:rsidR="00B66664" w:rsidRDefault="00264D9A">
      <w:pPr>
        <w:adjustRightInd w:val="0"/>
        <w:snapToGrid w:val="0"/>
        <w:ind w:firstLineChars="0" w:firstLine="0"/>
        <w:rPr>
          <w:rFonts w:ascii="微软雅黑" w:eastAsia="微软雅黑" w:hAnsi="微软雅黑"/>
          <w:color w:val="000000"/>
          <w:sz w:val="24"/>
          <w:shd w:val="clear" w:color="auto" w:fill="FFFFFF"/>
        </w:rPr>
      </w:pPr>
      <w:r>
        <w:rPr>
          <w:rFonts w:hint="eastAsia"/>
          <w:sz w:val="24"/>
        </w:rPr>
        <w:t>[</w:t>
      </w:r>
      <w:r>
        <w:rPr>
          <w:sz w:val="24"/>
        </w:rPr>
        <w:t>1]</w:t>
      </w:r>
      <w:r>
        <w:rPr>
          <w:rFonts w:ascii="微软雅黑" w:eastAsia="微软雅黑" w:hAnsi="微软雅黑" w:hint="eastAsia"/>
          <w:color w:val="000000"/>
          <w:sz w:val="24"/>
          <w:shd w:val="clear" w:color="auto" w:fill="FFFFFF"/>
        </w:rPr>
        <w:t xml:space="preserve"> 吴燕, 耿书德, 史长江, et al. DA-6对滁菊幼苗生长及叶片氮代谢的影响[J]. 核农学报, 2014(12):156-162.</w:t>
      </w:r>
    </w:p>
    <w:p w14:paraId="5EDB0B92" w14:textId="77777777" w:rsidR="00B66664" w:rsidRDefault="00264D9A">
      <w:pPr>
        <w:adjustRightInd w:val="0"/>
        <w:snapToGrid w:val="0"/>
        <w:ind w:firstLineChars="0" w:firstLine="0"/>
        <w:rPr>
          <w:rFonts w:ascii="微软雅黑" w:eastAsia="微软雅黑" w:hAnsi="微软雅黑"/>
          <w:color w:val="000000"/>
          <w:sz w:val="24"/>
          <w:shd w:val="clear" w:color="auto" w:fill="FFFFFF"/>
        </w:rPr>
      </w:pPr>
      <w:r>
        <w:rPr>
          <w:rFonts w:ascii="微软雅黑" w:eastAsia="微软雅黑" w:hAnsi="微软雅黑" w:hint="eastAsia"/>
          <w:color w:val="000000"/>
          <w:sz w:val="24"/>
          <w:shd w:val="clear" w:color="auto" w:fill="FFFFFF"/>
        </w:rPr>
        <w:t>[</w:t>
      </w:r>
      <w:r>
        <w:rPr>
          <w:rFonts w:ascii="微软雅黑" w:eastAsia="微软雅黑" w:hAnsi="微软雅黑"/>
          <w:color w:val="000000"/>
          <w:sz w:val="24"/>
          <w:shd w:val="clear" w:color="auto" w:fill="FFFFFF"/>
        </w:rPr>
        <w:t>2]</w:t>
      </w:r>
      <w:r>
        <w:rPr>
          <w:rFonts w:ascii="微软雅黑" w:eastAsia="微软雅黑" w:hAnsi="微软雅黑" w:hint="eastAsia"/>
          <w:color w:val="000000"/>
          <w:sz w:val="24"/>
          <w:shd w:val="clear" w:color="auto" w:fill="FFFFFF"/>
        </w:rPr>
        <w:t xml:space="preserve"> 苗鹏飞, 刘国杰, 李绍华, et al. DA-6对秋季草莓叶片光合速率和植株生长的影响[J]. 应用生态学报, 2007(12):78-82.</w:t>
      </w:r>
    </w:p>
    <w:p w14:paraId="1457C5F2" w14:textId="77777777" w:rsidR="00B66664" w:rsidRDefault="00264D9A">
      <w:pPr>
        <w:adjustRightInd w:val="0"/>
        <w:snapToGrid w:val="0"/>
        <w:ind w:firstLineChars="0" w:firstLine="0"/>
        <w:rPr>
          <w:rFonts w:ascii="微软雅黑" w:eastAsia="微软雅黑" w:hAnsi="微软雅黑"/>
          <w:color w:val="000000"/>
          <w:sz w:val="24"/>
          <w:shd w:val="clear" w:color="auto" w:fill="FFFFFF"/>
        </w:rPr>
      </w:pPr>
      <w:r>
        <w:rPr>
          <w:rFonts w:ascii="微软雅黑" w:eastAsia="微软雅黑" w:hAnsi="微软雅黑" w:hint="eastAsia"/>
          <w:color w:val="000000"/>
          <w:sz w:val="24"/>
          <w:shd w:val="clear" w:color="auto" w:fill="FFFFFF"/>
        </w:rPr>
        <w:t>[</w:t>
      </w:r>
      <w:r>
        <w:rPr>
          <w:rFonts w:ascii="微软雅黑" w:eastAsia="微软雅黑" w:hAnsi="微软雅黑"/>
          <w:color w:val="000000"/>
          <w:sz w:val="24"/>
          <w:shd w:val="clear" w:color="auto" w:fill="FFFFFF"/>
        </w:rPr>
        <w:t>3]</w:t>
      </w:r>
      <w:r>
        <w:rPr>
          <w:rFonts w:ascii="微软雅黑" w:eastAsia="微软雅黑" w:hAnsi="微软雅黑" w:hint="eastAsia"/>
          <w:color w:val="000000"/>
          <w:sz w:val="24"/>
          <w:shd w:val="clear" w:color="auto" w:fill="FFFFFF"/>
        </w:rPr>
        <w:t xml:space="preserve"> 孙晓慧, 李成亮, 陈剑秋, et al. 不同胺鲜酯（DA-6）浓度及施用方式对菠菜生长的影响[J]. 北方园艺, 2017(13):122-128.</w:t>
      </w:r>
    </w:p>
    <w:p w14:paraId="06518998" w14:textId="77777777" w:rsidR="00B66664" w:rsidRDefault="00264D9A">
      <w:pPr>
        <w:adjustRightInd w:val="0"/>
        <w:snapToGrid w:val="0"/>
        <w:ind w:firstLineChars="0" w:firstLine="0"/>
        <w:rPr>
          <w:rFonts w:ascii="微软雅黑" w:eastAsia="微软雅黑" w:hAnsi="微软雅黑"/>
          <w:color w:val="000000"/>
          <w:sz w:val="24"/>
          <w:shd w:val="clear" w:color="auto" w:fill="FFFFFF"/>
        </w:rPr>
      </w:pPr>
      <w:r>
        <w:rPr>
          <w:rFonts w:ascii="微软雅黑" w:eastAsia="微软雅黑" w:hAnsi="微软雅黑" w:hint="eastAsia"/>
          <w:color w:val="000000"/>
          <w:sz w:val="24"/>
          <w:shd w:val="clear" w:color="auto" w:fill="FFFFFF"/>
        </w:rPr>
        <w:t>[</w:t>
      </w:r>
      <w:r>
        <w:rPr>
          <w:rFonts w:ascii="微软雅黑" w:eastAsia="微软雅黑" w:hAnsi="微软雅黑"/>
          <w:color w:val="000000"/>
          <w:sz w:val="24"/>
          <w:shd w:val="clear" w:color="auto" w:fill="FFFFFF"/>
        </w:rPr>
        <w:t>4]</w:t>
      </w:r>
      <w:r>
        <w:rPr>
          <w:rFonts w:ascii="微软雅黑" w:eastAsia="微软雅黑" w:hAnsi="微软雅黑" w:hint="eastAsia"/>
          <w:color w:val="000000"/>
          <w:sz w:val="24"/>
          <w:shd w:val="clear" w:color="auto" w:fill="FFFFFF"/>
        </w:rPr>
        <w:t xml:space="preserve"> 郑先福. 剖析:植调剂“十个药害案例”[J]. 营销界(农资与市场), 2013(18):34-37.</w:t>
      </w:r>
    </w:p>
    <w:p w14:paraId="011833EF" w14:textId="77777777" w:rsidR="00B66664" w:rsidRDefault="00264D9A">
      <w:pPr>
        <w:adjustRightInd w:val="0"/>
        <w:snapToGrid w:val="0"/>
        <w:ind w:firstLineChars="0" w:firstLine="0"/>
        <w:rPr>
          <w:rFonts w:ascii="微软雅黑" w:eastAsia="微软雅黑" w:hAnsi="微软雅黑"/>
          <w:color w:val="000000"/>
          <w:sz w:val="24"/>
          <w:shd w:val="clear" w:color="auto" w:fill="FFFFFF"/>
        </w:rPr>
      </w:pPr>
      <w:r>
        <w:rPr>
          <w:rFonts w:ascii="微软雅黑" w:eastAsia="微软雅黑" w:hAnsi="微软雅黑" w:hint="eastAsia"/>
          <w:color w:val="000000"/>
          <w:sz w:val="24"/>
          <w:shd w:val="clear" w:color="auto" w:fill="FFFFFF"/>
        </w:rPr>
        <w:t>[</w:t>
      </w:r>
      <w:r>
        <w:rPr>
          <w:rFonts w:ascii="微软雅黑" w:eastAsia="微软雅黑" w:hAnsi="微软雅黑"/>
          <w:color w:val="000000"/>
          <w:sz w:val="24"/>
          <w:shd w:val="clear" w:color="auto" w:fill="FFFFFF"/>
        </w:rPr>
        <w:t>5]</w:t>
      </w:r>
      <w:r>
        <w:rPr>
          <w:rFonts w:ascii="微软雅黑" w:eastAsia="微软雅黑" w:hAnsi="微软雅黑" w:hint="eastAsia"/>
          <w:color w:val="000000"/>
          <w:sz w:val="24"/>
          <w:shd w:val="clear" w:color="auto" w:fill="FFFFFF"/>
        </w:rPr>
        <w:t xml:space="preserve"> 赵健, 杨挺, 张欢, et al. 用气相色谱法检测白菜和黄瓜中多效唑的残留量[J]. 江西农业学报, 2009(11):108-109.</w:t>
      </w:r>
    </w:p>
    <w:p w14:paraId="188D15A5" w14:textId="77777777" w:rsidR="00B66664" w:rsidRDefault="00264D9A">
      <w:pPr>
        <w:adjustRightInd w:val="0"/>
        <w:snapToGrid w:val="0"/>
        <w:ind w:firstLineChars="0" w:firstLine="0"/>
        <w:rPr>
          <w:rFonts w:ascii="微软雅黑" w:eastAsia="微软雅黑" w:hAnsi="微软雅黑"/>
          <w:color w:val="000000"/>
          <w:sz w:val="24"/>
          <w:shd w:val="clear" w:color="auto" w:fill="FFFFFF"/>
        </w:rPr>
      </w:pPr>
      <w:r>
        <w:rPr>
          <w:rFonts w:ascii="微软雅黑" w:eastAsia="微软雅黑" w:hAnsi="微软雅黑" w:hint="eastAsia"/>
          <w:color w:val="000000"/>
          <w:sz w:val="24"/>
          <w:shd w:val="clear" w:color="auto" w:fill="FFFFFF"/>
        </w:rPr>
        <w:t>[</w:t>
      </w:r>
      <w:r>
        <w:rPr>
          <w:rFonts w:ascii="微软雅黑" w:eastAsia="微软雅黑" w:hAnsi="微软雅黑"/>
          <w:color w:val="000000"/>
          <w:sz w:val="24"/>
          <w:shd w:val="clear" w:color="auto" w:fill="FFFFFF"/>
        </w:rPr>
        <w:t>6]</w:t>
      </w:r>
      <w:r>
        <w:rPr>
          <w:rFonts w:ascii="微软雅黑" w:eastAsia="微软雅黑" w:hAnsi="微软雅黑" w:hint="eastAsia"/>
          <w:color w:val="000000"/>
          <w:sz w:val="24"/>
          <w:shd w:val="clear" w:color="auto" w:fill="FFFFFF"/>
        </w:rPr>
        <w:t xml:space="preserve"> 吕燕, 赵健, 杨挺, et al. 气相色谱质谱法检测蔬菜中多效唑的残留[J]. 中国测试, 2010, 36(4):65-67.</w:t>
      </w:r>
    </w:p>
    <w:p w14:paraId="778408CC" w14:textId="77777777" w:rsidR="00B66664" w:rsidRDefault="00264D9A">
      <w:pPr>
        <w:adjustRightInd w:val="0"/>
        <w:snapToGrid w:val="0"/>
        <w:ind w:firstLineChars="0" w:firstLine="0"/>
        <w:rPr>
          <w:rFonts w:ascii="微软雅黑" w:eastAsia="微软雅黑" w:hAnsi="微软雅黑"/>
          <w:color w:val="000000"/>
          <w:sz w:val="24"/>
          <w:shd w:val="clear" w:color="auto" w:fill="FFFFFF"/>
        </w:rPr>
      </w:pPr>
      <w:r>
        <w:rPr>
          <w:rFonts w:ascii="微软雅黑" w:eastAsia="微软雅黑" w:hAnsi="微软雅黑" w:hint="eastAsia"/>
          <w:color w:val="000000"/>
          <w:sz w:val="24"/>
          <w:shd w:val="clear" w:color="auto" w:fill="FFFFFF"/>
        </w:rPr>
        <w:t>[</w:t>
      </w:r>
      <w:r>
        <w:rPr>
          <w:rFonts w:ascii="微软雅黑" w:eastAsia="微软雅黑" w:hAnsi="微软雅黑"/>
          <w:color w:val="000000"/>
          <w:sz w:val="24"/>
          <w:shd w:val="clear" w:color="auto" w:fill="FFFFFF"/>
        </w:rPr>
        <w:t>7]</w:t>
      </w:r>
      <w:r>
        <w:rPr>
          <w:rFonts w:ascii="微软雅黑" w:eastAsia="微软雅黑" w:hAnsi="微软雅黑" w:hint="eastAsia"/>
          <w:color w:val="000000"/>
          <w:sz w:val="24"/>
          <w:shd w:val="clear" w:color="auto" w:fill="FFFFFF"/>
        </w:rPr>
        <w:t xml:space="preserve"> 宋莹, 张耀海, 黄霞, et al. 气相色谱-串联质谱法快速检测水果中的多效唑残留[J]. </w:t>
      </w:r>
      <w:r>
        <w:rPr>
          <w:rFonts w:ascii="微软雅黑" w:eastAsia="微软雅黑" w:hAnsi="微软雅黑" w:hint="eastAsia"/>
          <w:color w:val="000000"/>
          <w:sz w:val="24"/>
          <w:shd w:val="clear" w:color="auto" w:fill="FFFFFF"/>
        </w:rPr>
        <w:lastRenderedPageBreak/>
        <w:t>分析化学, 2011(08):157-160.</w:t>
      </w:r>
    </w:p>
    <w:p w14:paraId="1F5265BF" w14:textId="77777777" w:rsidR="00B66664" w:rsidRDefault="00264D9A">
      <w:pPr>
        <w:adjustRightInd w:val="0"/>
        <w:snapToGrid w:val="0"/>
        <w:ind w:firstLineChars="0" w:firstLine="0"/>
        <w:rPr>
          <w:rFonts w:ascii="微软雅黑" w:eastAsia="微软雅黑" w:hAnsi="微软雅黑"/>
          <w:color w:val="000000"/>
          <w:sz w:val="24"/>
          <w:shd w:val="clear" w:color="auto" w:fill="FFFFFF"/>
        </w:rPr>
      </w:pPr>
      <w:r>
        <w:rPr>
          <w:rFonts w:ascii="微软雅黑" w:eastAsia="微软雅黑" w:hAnsi="微软雅黑" w:hint="eastAsia"/>
          <w:color w:val="000000"/>
          <w:sz w:val="24"/>
          <w:shd w:val="clear" w:color="auto" w:fill="FFFFFF"/>
        </w:rPr>
        <w:t>[</w:t>
      </w:r>
      <w:r>
        <w:rPr>
          <w:rFonts w:ascii="微软雅黑" w:eastAsia="微软雅黑" w:hAnsi="微软雅黑"/>
          <w:color w:val="000000"/>
          <w:sz w:val="24"/>
          <w:shd w:val="clear" w:color="auto" w:fill="FFFFFF"/>
        </w:rPr>
        <w:t>8]</w:t>
      </w:r>
      <w:r>
        <w:rPr>
          <w:rFonts w:ascii="微软雅黑" w:eastAsia="微软雅黑" w:hAnsi="微软雅黑" w:hint="eastAsia"/>
          <w:color w:val="000000"/>
          <w:sz w:val="24"/>
          <w:shd w:val="clear" w:color="auto" w:fill="FFFFFF"/>
        </w:rPr>
        <w:t xml:space="preserve"> 石秋忠. 乙草胺、多效唑乳油的气相色谱分析[J]. 镇江市高等专科学校学报, 2000(2):67-68.</w:t>
      </w:r>
    </w:p>
    <w:p w14:paraId="37161459" w14:textId="77777777" w:rsidR="00B66664" w:rsidRDefault="00264D9A">
      <w:pPr>
        <w:adjustRightInd w:val="0"/>
        <w:snapToGrid w:val="0"/>
        <w:ind w:firstLineChars="0" w:firstLine="0"/>
        <w:rPr>
          <w:rFonts w:ascii="微软雅黑" w:eastAsia="微软雅黑" w:hAnsi="微软雅黑"/>
          <w:color w:val="000000"/>
          <w:sz w:val="24"/>
          <w:shd w:val="clear" w:color="auto" w:fill="FFFFFF"/>
        </w:rPr>
      </w:pPr>
      <w:r>
        <w:rPr>
          <w:rFonts w:ascii="微软雅黑" w:eastAsia="微软雅黑" w:hAnsi="微软雅黑" w:hint="eastAsia"/>
          <w:color w:val="000000"/>
          <w:sz w:val="24"/>
          <w:shd w:val="clear" w:color="auto" w:fill="FFFFFF"/>
        </w:rPr>
        <w:t>[</w:t>
      </w:r>
      <w:r>
        <w:rPr>
          <w:rFonts w:ascii="微软雅黑" w:eastAsia="微软雅黑" w:hAnsi="微软雅黑"/>
          <w:color w:val="000000"/>
          <w:sz w:val="24"/>
          <w:shd w:val="clear" w:color="auto" w:fill="FFFFFF"/>
        </w:rPr>
        <w:t>9]</w:t>
      </w:r>
      <w:r>
        <w:rPr>
          <w:rFonts w:ascii="微软雅黑" w:eastAsia="微软雅黑" w:hAnsi="微软雅黑" w:hint="eastAsia"/>
          <w:color w:val="000000"/>
          <w:sz w:val="24"/>
          <w:shd w:val="clear" w:color="auto" w:fill="FFFFFF"/>
        </w:rPr>
        <w:t xml:space="preserve"> 成妙金, 戴兰芳, 祝木金. 毛细管柱气相色谱法定量分析胺鲜酯[J]. 现代农药, 2009, 8(4):35-36.</w:t>
      </w:r>
    </w:p>
    <w:p w14:paraId="65176A81" w14:textId="77777777" w:rsidR="00B66664" w:rsidRDefault="00264D9A">
      <w:pPr>
        <w:adjustRightInd w:val="0"/>
        <w:snapToGrid w:val="0"/>
        <w:ind w:firstLineChars="0" w:firstLine="0"/>
        <w:rPr>
          <w:rFonts w:ascii="微软雅黑" w:eastAsia="微软雅黑" w:hAnsi="微软雅黑"/>
          <w:color w:val="000000"/>
          <w:sz w:val="24"/>
          <w:shd w:val="clear" w:color="auto" w:fill="FFFFFF"/>
        </w:rPr>
      </w:pPr>
      <w:r>
        <w:rPr>
          <w:rFonts w:ascii="微软雅黑" w:eastAsia="微软雅黑" w:hAnsi="微软雅黑" w:hint="eastAsia"/>
          <w:color w:val="000000"/>
          <w:sz w:val="24"/>
          <w:shd w:val="clear" w:color="auto" w:fill="FFFFFF"/>
        </w:rPr>
        <w:t>[</w:t>
      </w:r>
      <w:r>
        <w:rPr>
          <w:rFonts w:ascii="微软雅黑" w:eastAsia="微软雅黑" w:hAnsi="微软雅黑"/>
          <w:color w:val="000000"/>
          <w:sz w:val="24"/>
          <w:shd w:val="clear" w:color="auto" w:fill="FFFFFF"/>
        </w:rPr>
        <w:t>10]</w:t>
      </w:r>
      <w:r>
        <w:rPr>
          <w:rFonts w:ascii="微软雅黑" w:eastAsia="微软雅黑" w:hAnsi="微软雅黑" w:hint="eastAsia"/>
          <w:color w:val="000000"/>
          <w:sz w:val="24"/>
          <w:shd w:val="clear" w:color="auto" w:fill="FFFFFF"/>
        </w:rPr>
        <w:t xml:space="preserve"> 梁林, 薄瑞, 蒋家珍, et al. 胺鲜酯在大白菜和土壤中的残留分析及消解动态[J]. 农药学学报, 2011(01):102-105.</w:t>
      </w:r>
    </w:p>
    <w:p w14:paraId="4E5DBE57" w14:textId="77777777" w:rsidR="00B66664" w:rsidRDefault="00264D9A">
      <w:pPr>
        <w:adjustRightInd w:val="0"/>
        <w:snapToGrid w:val="0"/>
        <w:ind w:firstLineChars="0" w:firstLine="0"/>
        <w:rPr>
          <w:rFonts w:ascii="微软雅黑" w:eastAsia="微软雅黑" w:hAnsi="微软雅黑"/>
          <w:color w:val="000000"/>
          <w:sz w:val="24"/>
          <w:shd w:val="clear" w:color="auto" w:fill="FFFFFF"/>
        </w:rPr>
      </w:pPr>
      <w:r>
        <w:rPr>
          <w:rFonts w:ascii="微软雅黑" w:eastAsia="微软雅黑" w:hAnsi="微软雅黑" w:hint="eastAsia"/>
          <w:color w:val="000000"/>
          <w:sz w:val="24"/>
          <w:shd w:val="clear" w:color="auto" w:fill="FFFFFF"/>
        </w:rPr>
        <w:t>[</w:t>
      </w:r>
      <w:r>
        <w:rPr>
          <w:rFonts w:ascii="微软雅黑" w:eastAsia="微软雅黑" w:hAnsi="微软雅黑"/>
          <w:color w:val="000000"/>
          <w:sz w:val="24"/>
          <w:shd w:val="clear" w:color="auto" w:fill="FFFFFF"/>
        </w:rPr>
        <w:t>11]</w:t>
      </w:r>
      <w:r>
        <w:rPr>
          <w:rFonts w:ascii="微软雅黑" w:eastAsia="微软雅黑" w:hAnsi="微软雅黑" w:hint="eastAsia"/>
          <w:color w:val="000000"/>
          <w:sz w:val="24"/>
          <w:shd w:val="clear" w:color="auto" w:fill="FFFFFF"/>
        </w:rPr>
        <w:t xml:space="preserve"> 潘志明, 周路明, 黄琼, et al. 食品中胺鲜酯的气相色谱－质谱联用仪测定方法研究[J]. 世界科技研究与发展, 2015(2).</w:t>
      </w:r>
    </w:p>
    <w:p w14:paraId="7D5BE386" w14:textId="77777777" w:rsidR="00B66664" w:rsidRDefault="00264D9A">
      <w:pPr>
        <w:adjustRightInd w:val="0"/>
        <w:snapToGrid w:val="0"/>
        <w:ind w:firstLineChars="0" w:firstLine="0"/>
        <w:rPr>
          <w:rFonts w:ascii="微软雅黑" w:eastAsia="微软雅黑" w:hAnsi="微软雅黑"/>
          <w:color w:val="000000"/>
          <w:sz w:val="24"/>
          <w:shd w:val="clear" w:color="auto" w:fill="FFFFFF"/>
        </w:rPr>
      </w:pPr>
      <w:r>
        <w:rPr>
          <w:rFonts w:ascii="微软雅黑" w:eastAsia="微软雅黑" w:hAnsi="微软雅黑" w:hint="eastAsia"/>
          <w:color w:val="000000"/>
          <w:sz w:val="24"/>
          <w:shd w:val="clear" w:color="auto" w:fill="FFFFFF"/>
        </w:rPr>
        <w:t>[</w:t>
      </w:r>
      <w:r>
        <w:rPr>
          <w:rFonts w:ascii="微软雅黑" w:eastAsia="微软雅黑" w:hAnsi="微软雅黑"/>
          <w:color w:val="000000"/>
          <w:sz w:val="24"/>
          <w:shd w:val="clear" w:color="auto" w:fill="FFFFFF"/>
        </w:rPr>
        <w:t>12]</w:t>
      </w:r>
      <w:r>
        <w:rPr>
          <w:rFonts w:ascii="微软雅黑" w:eastAsia="微软雅黑" w:hAnsi="微软雅黑" w:hint="eastAsia"/>
          <w:color w:val="000000"/>
          <w:sz w:val="24"/>
          <w:shd w:val="clear" w:color="auto" w:fill="FFFFFF"/>
        </w:rPr>
        <w:t xml:space="preserve"> 姚莎, 陈萌, 谌芳, et al. 肥料中胺鲜酯的气相色谱分析[J]. 云南化工, 2015(03):47-49.</w:t>
      </w:r>
    </w:p>
    <w:p w14:paraId="4934764D" w14:textId="77777777" w:rsidR="00B66664" w:rsidRDefault="00B66664">
      <w:pPr>
        <w:spacing w:line="360" w:lineRule="auto"/>
        <w:ind w:firstLineChars="0" w:firstLine="0"/>
        <w:rPr>
          <w:sz w:val="24"/>
        </w:rPr>
      </w:pPr>
    </w:p>
    <w:sectPr w:rsidR="00B66664">
      <w:pgSz w:w="11906" w:h="16838"/>
      <w:pgMar w:top="1361" w:right="1474" w:bottom="1304" w:left="1474" w:header="851" w:footer="992" w:gutter="0"/>
      <w:pgNumType w:start="1"/>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4054A8" w14:textId="77777777" w:rsidR="004148B0" w:rsidRDefault="004148B0">
      <w:pPr>
        <w:ind w:firstLine="560"/>
      </w:pPr>
      <w:r>
        <w:separator/>
      </w:r>
    </w:p>
  </w:endnote>
  <w:endnote w:type="continuationSeparator" w:id="0">
    <w:p w14:paraId="6C70A746" w14:textId="77777777" w:rsidR="004148B0" w:rsidRDefault="004148B0">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微软雅黑"/>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CFA1C1" w14:textId="77777777" w:rsidR="00264D9A" w:rsidRDefault="00264D9A">
    <w:pPr>
      <w:pStyle w:val="a7"/>
      <w:framePr w:wrap="around" w:vAnchor="text" w:hAnchor="margin" w:xAlign="center" w:y="1"/>
      <w:ind w:firstLine="360"/>
      <w:rPr>
        <w:rStyle w:val="ad"/>
      </w:rPr>
    </w:pPr>
    <w:r>
      <w:fldChar w:fldCharType="begin"/>
    </w:r>
    <w:r>
      <w:rPr>
        <w:rStyle w:val="ad"/>
      </w:rPr>
      <w:instrText xml:space="preserve">PAGE  </w:instrText>
    </w:r>
    <w:r>
      <w:fldChar w:fldCharType="end"/>
    </w:r>
  </w:p>
  <w:p w14:paraId="0C7D590F" w14:textId="77777777" w:rsidR="00264D9A" w:rsidRDefault="00264D9A">
    <w:pPr>
      <w:pStyle w:val="a7"/>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C4832" w14:textId="77777777" w:rsidR="00264D9A" w:rsidRDefault="00264D9A">
    <w:pPr>
      <w:pStyle w:val="a7"/>
      <w:framePr w:wrap="around" w:vAnchor="text" w:hAnchor="margin" w:xAlign="center" w:y="1"/>
      <w:ind w:firstLine="360"/>
      <w:rPr>
        <w:rStyle w:val="ad"/>
      </w:rPr>
    </w:pPr>
    <w:r>
      <w:fldChar w:fldCharType="begin"/>
    </w:r>
    <w:r>
      <w:rPr>
        <w:rStyle w:val="ad"/>
      </w:rPr>
      <w:instrText xml:space="preserve">PAGE  </w:instrText>
    </w:r>
    <w:r>
      <w:fldChar w:fldCharType="separate"/>
    </w:r>
    <w:r>
      <w:rPr>
        <w:rStyle w:val="ad"/>
      </w:rPr>
      <w:t>19</w:t>
    </w:r>
    <w:r>
      <w:fldChar w:fldCharType="end"/>
    </w:r>
  </w:p>
  <w:p w14:paraId="5CFA962E" w14:textId="77777777" w:rsidR="00264D9A" w:rsidRDefault="00264D9A">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03BBD" w14:textId="77777777" w:rsidR="00264D9A" w:rsidRDefault="00264D9A">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A807EF" w14:textId="77777777" w:rsidR="004148B0" w:rsidRDefault="004148B0">
      <w:pPr>
        <w:ind w:firstLine="560"/>
      </w:pPr>
      <w:r>
        <w:separator/>
      </w:r>
    </w:p>
  </w:footnote>
  <w:footnote w:type="continuationSeparator" w:id="0">
    <w:p w14:paraId="4F1778B7" w14:textId="77777777" w:rsidR="004148B0" w:rsidRDefault="004148B0">
      <w:pPr>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D57EDC" w14:textId="77777777" w:rsidR="00264D9A" w:rsidRDefault="00264D9A">
    <w:pPr>
      <w:pStyle w:val="a8"/>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4F42E" w14:textId="77777777" w:rsidR="00264D9A" w:rsidRDefault="00264D9A">
    <w:pPr>
      <w:pStyle w:val="a8"/>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D3A4B" w14:textId="77777777" w:rsidR="00264D9A" w:rsidRDefault="00264D9A">
    <w:pPr>
      <w:pStyle w:val="a8"/>
      <w:pBdr>
        <w:bottom w:val="none" w:sz="0" w:space="0" w:color="auto"/>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9155C"/>
    <w:rsid w:val="000151F8"/>
    <w:rsid w:val="0002100D"/>
    <w:rsid w:val="00022F7E"/>
    <w:rsid w:val="00024018"/>
    <w:rsid w:val="00030A38"/>
    <w:rsid w:val="00033460"/>
    <w:rsid w:val="000350E0"/>
    <w:rsid w:val="00045510"/>
    <w:rsid w:val="00047186"/>
    <w:rsid w:val="00051971"/>
    <w:rsid w:val="00052037"/>
    <w:rsid w:val="00053512"/>
    <w:rsid w:val="00057D3F"/>
    <w:rsid w:val="00063C9A"/>
    <w:rsid w:val="00065D7D"/>
    <w:rsid w:val="000717E0"/>
    <w:rsid w:val="000779A5"/>
    <w:rsid w:val="0008028D"/>
    <w:rsid w:val="000812F8"/>
    <w:rsid w:val="000819DD"/>
    <w:rsid w:val="00085F20"/>
    <w:rsid w:val="000868BF"/>
    <w:rsid w:val="0009134F"/>
    <w:rsid w:val="000954D1"/>
    <w:rsid w:val="000A09E7"/>
    <w:rsid w:val="000A78F7"/>
    <w:rsid w:val="000B2F7B"/>
    <w:rsid w:val="000B3C04"/>
    <w:rsid w:val="000C1C62"/>
    <w:rsid w:val="000C1F77"/>
    <w:rsid w:val="000C2C22"/>
    <w:rsid w:val="000C5D32"/>
    <w:rsid w:val="000D0681"/>
    <w:rsid w:val="000D2656"/>
    <w:rsid w:val="000D4A31"/>
    <w:rsid w:val="000D7588"/>
    <w:rsid w:val="000E1342"/>
    <w:rsid w:val="000E1EFB"/>
    <w:rsid w:val="000E6A37"/>
    <w:rsid w:val="000E6BFC"/>
    <w:rsid w:val="000F37C5"/>
    <w:rsid w:val="00105044"/>
    <w:rsid w:val="001078FD"/>
    <w:rsid w:val="00111886"/>
    <w:rsid w:val="00111FCA"/>
    <w:rsid w:val="00117CEA"/>
    <w:rsid w:val="0012196D"/>
    <w:rsid w:val="00127250"/>
    <w:rsid w:val="0012777A"/>
    <w:rsid w:val="001318B2"/>
    <w:rsid w:val="00131E15"/>
    <w:rsid w:val="00132C61"/>
    <w:rsid w:val="00147CBA"/>
    <w:rsid w:val="00152370"/>
    <w:rsid w:val="001525FD"/>
    <w:rsid w:val="00152948"/>
    <w:rsid w:val="00154751"/>
    <w:rsid w:val="00156467"/>
    <w:rsid w:val="00175B30"/>
    <w:rsid w:val="001772D5"/>
    <w:rsid w:val="00180021"/>
    <w:rsid w:val="00180E38"/>
    <w:rsid w:val="0018228C"/>
    <w:rsid w:val="001849C1"/>
    <w:rsid w:val="00184C46"/>
    <w:rsid w:val="00184D92"/>
    <w:rsid w:val="001933B7"/>
    <w:rsid w:val="001A78D0"/>
    <w:rsid w:val="001B64EE"/>
    <w:rsid w:val="001C254B"/>
    <w:rsid w:val="001C3E71"/>
    <w:rsid w:val="001D2BA8"/>
    <w:rsid w:val="001D4454"/>
    <w:rsid w:val="001F6FF5"/>
    <w:rsid w:val="00207F12"/>
    <w:rsid w:val="00212631"/>
    <w:rsid w:val="00221622"/>
    <w:rsid w:val="002238EF"/>
    <w:rsid w:val="00224A45"/>
    <w:rsid w:val="00232CCD"/>
    <w:rsid w:val="0023411E"/>
    <w:rsid w:val="00240DAE"/>
    <w:rsid w:val="00247BF9"/>
    <w:rsid w:val="00252438"/>
    <w:rsid w:val="0026233E"/>
    <w:rsid w:val="00264220"/>
    <w:rsid w:val="00264D9A"/>
    <w:rsid w:val="00270CA3"/>
    <w:rsid w:val="0027272B"/>
    <w:rsid w:val="002728D3"/>
    <w:rsid w:val="00273F26"/>
    <w:rsid w:val="00275235"/>
    <w:rsid w:val="002778E5"/>
    <w:rsid w:val="00282C48"/>
    <w:rsid w:val="00286558"/>
    <w:rsid w:val="0029054C"/>
    <w:rsid w:val="00291660"/>
    <w:rsid w:val="002A0C48"/>
    <w:rsid w:val="002A21A3"/>
    <w:rsid w:val="002A51F9"/>
    <w:rsid w:val="002A7ECE"/>
    <w:rsid w:val="002B0AB5"/>
    <w:rsid w:val="002B2540"/>
    <w:rsid w:val="002B76AB"/>
    <w:rsid w:val="002C122B"/>
    <w:rsid w:val="002C1707"/>
    <w:rsid w:val="002C4E09"/>
    <w:rsid w:val="002D6674"/>
    <w:rsid w:val="002E049F"/>
    <w:rsid w:val="002F4750"/>
    <w:rsid w:val="002F626F"/>
    <w:rsid w:val="0030099F"/>
    <w:rsid w:val="00303078"/>
    <w:rsid w:val="00305602"/>
    <w:rsid w:val="0030746E"/>
    <w:rsid w:val="00312F24"/>
    <w:rsid w:val="003319BF"/>
    <w:rsid w:val="00331F68"/>
    <w:rsid w:val="003341C2"/>
    <w:rsid w:val="003342F5"/>
    <w:rsid w:val="00337F4C"/>
    <w:rsid w:val="00343261"/>
    <w:rsid w:val="00353B8F"/>
    <w:rsid w:val="003706D3"/>
    <w:rsid w:val="00384125"/>
    <w:rsid w:val="00385D74"/>
    <w:rsid w:val="00393AB2"/>
    <w:rsid w:val="003A2875"/>
    <w:rsid w:val="003A2D9A"/>
    <w:rsid w:val="003B26CA"/>
    <w:rsid w:val="003C0995"/>
    <w:rsid w:val="003C3DE9"/>
    <w:rsid w:val="003C7E64"/>
    <w:rsid w:val="003D029F"/>
    <w:rsid w:val="003D0AD3"/>
    <w:rsid w:val="003D2242"/>
    <w:rsid w:val="003D4F8F"/>
    <w:rsid w:val="003E2312"/>
    <w:rsid w:val="003E3717"/>
    <w:rsid w:val="003E509D"/>
    <w:rsid w:val="003E51CC"/>
    <w:rsid w:val="003F014D"/>
    <w:rsid w:val="003F4603"/>
    <w:rsid w:val="003F4763"/>
    <w:rsid w:val="003F5F7C"/>
    <w:rsid w:val="004000BA"/>
    <w:rsid w:val="0040045D"/>
    <w:rsid w:val="004024EF"/>
    <w:rsid w:val="00402FC7"/>
    <w:rsid w:val="00412E7A"/>
    <w:rsid w:val="004132CA"/>
    <w:rsid w:val="004148B0"/>
    <w:rsid w:val="00415176"/>
    <w:rsid w:val="004170FE"/>
    <w:rsid w:val="00421B80"/>
    <w:rsid w:val="00421CC6"/>
    <w:rsid w:val="00427138"/>
    <w:rsid w:val="00437EB3"/>
    <w:rsid w:val="00440F73"/>
    <w:rsid w:val="00445779"/>
    <w:rsid w:val="00445913"/>
    <w:rsid w:val="00456479"/>
    <w:rsid w:val="0046467A"/>
    <w:rsid w:val="0046555F"/>
    <w:rsid w:val="0047157B"/>
    <w:rsid w:val="0047313C"/>
    <w:rsid w:val="00482743"/>
    <w:rsid w:val="00486229"/>
    <w:rsid w:val="004A4303"/>
    <w:rsid w:val="004A54FE"/>
    <w:rsid w:val="004A67D1"/>
    <w:rsid w:val="004B5337"/>
    <w:rsid w:val="004B6CFB"/>
    <w:rsid w:val="004B7357"/>
    <w:rsid w:val="004C08CE"/>
    <w:rsid w:val="004C330A"/>
    <w:rsid w:val="004E0B36"/>
    <w:rsid w:val="004E52C8"/>
    <w:rsid w:val="004F0C7C"/>
    <w:rsid w:val="004F1DA7"/>
    <w:rsid w:val="004F25EC"/>
    <w:rsid w:val="005007BC"/>
    <w:rsid w:val="005024D3"/>
    <w:rsid w:val="005036D1"/>
    <w:rsid w:val="005065A3"/>
    <w:rsid w:val="00511884"/>
    <w:rsid w:val="00515D44"/>
    <w:rsid w:val="0052056F"/>
    <w:rsid w:val="005265A6"/>
    <w:rsid w:val="00537E89"/>
    <w:rsid w:val="0054440F"/>
    <w:rsid w:val="00554E04"/>
    <w:rsid w:val="0055645E"/>
    <w:rsid w:val="005708F2"/>
    <w:rsid w:val="00572B0C"/>
    <w:rsid w:val="00577444"/>
    <w:rsid w:val="00583806"/>
    <w:rsid w:val="0058523D"/>
    <w:rsid w:val="00587C28"/>
    <w:rsid w:val="00591F41"/>
    <w:rsid w:val="0059391E"/>
    <w:rsid w:val="00594627"/>
    <w:rsid w:val="005A0205"/>
    <w:rsid w:val="005A1CBB"/>
    <w:rsid w:val="005A44D6"/>
    <w:rsid w:val="005A6489"/>
    <w:rsid w:val="005B3B6C"/>
    <w:rsid w:val="005D075F"/>
    <w:rsid w:val="005D3731"/>
    <w:rsid w:val="005D4642"/>
    <w:rsid w:val="005E2FDD"/>
    <w:rsid w:val="005E3DF5"/>
    <w:rsid w:val="005E433D"/>
    <w:rsid w:val="005E5E57"/>
    <w:rsid w:val="005F149E"/>
    <w:rsid w:val="00600B63"/>
    <w:rsid w:val="00604D19"/>
    <w:rsid w:val="00613D5C"/>
    <w:rsid w:val="00614EA9"/>
    <w:rsid w:val="00617501"/>
    <w:rsid w:val="006223D1"/>
    <w:rsid w:val="006232B4"/>
    <w:rsid w:val="00623461"/>
    <w:rsid w:val="0063417B"/>
    <w:rsid w:val="006355F8"/>
    <w:rsid w:val="00635B78"/>
    <w:rsid w:val="00640BCA"/>
    <w:rsid w:val="006431EF"/>
    <w:rsid w:val="00646D1B"/>
    <w:rsid w:val="00647C3D"/>
    <w:rsid w:val="00647DFF"/>
    <w:rsid w:val="00651D1A"/>
    <w:rsid w:val="00661484"/>
    <w:rsid w:val="0067356C"/>
    <w:rsid w:val="00675784"/>
    <w:rsid w:val="00682E16"/>
    <w:rsid w:val="00684711"/>
    <w:rsid w:val="006A1427"/>
    <w:rsid w:val="006B3CE9"/>
    <w:rsid w:val="006D1CE0"/>
    <w:rsid w:val="006D7889"/>
    <w:rsid w:val="006E1B31"/>
    <w:rsid w:val="006E4AC8"/>
    <w:rsid w:val="006F2030"/>
    <w:rsid w:val="006F7B6B"/>
    <w:rsid w:val="007051F8"/>
    <w:rsid w:val="007147F1"/>
    <w:rsid w:val="00717F69"/>
    <w:rsid w:val="007310D8"/>
    <w:rsid w:val="007433A8"/>
    <w:rsid w:val="00744BA4"/>
    <w:rsid w:val="00745554"/>
    <w:rsid w:val="00745792"/>
    <w:rsid w:val="00745EB8"/>
    <w:rsid w:val="00766B4F"/>
    <w:rsid w:val="00775071"/>
    <w:rsid w:val="00780DC2"/>
    <w:rsid w:val="007817A8"/>
    <w:rsid w:val="00786A3E"/>
    <w:rsid w:val="00794653"/>
    <w:rsid w:val="00796FCA"/>
    <w:rsid w:val="007A266E"/>
    <w:rsid w:val="007B05C6"/>
    <w:rsid w:val="007B5B40"/>
    <w:rsid w:val="007C3275"/>
    <w:rsid w:val="007C339A"/>
    <w:rsid w:val="007C4386"/>
    <w:rsid w:val="007D60E2"/>
    <w:rsid w:val="007E319D"/>
    <w:rsid w:val="007E7463"/>
    <w:rsid w:val="007E760C"/>
    <w:rsid w:val="007E7737"/>
    <w:rsid w:val="008028E8"/>
    <w:rsid w:val="00805217"/>
    <w:rsid w:val="0080773E"/>
    <w:rsid w:val="00810A63"/>
    <w:rsid w:val="008161B0"/>
    <w:rsid w:val="00822B21"/>
    <w:rsid w:val="00826A35"/>
    <w:rsid w:val="008350E1"/>
    <w:rsid w:val="00837434"/>
    <w:rsid w:val="0084542E"/>
    <w:rsid w:val="008500C3"/>
    <w:rsid w:val="00851DEF"/>
    <w:rsid w:val="00861C8A"/>
    <w:rsid w:val="00872A0B"/>
    <w:rsid w:val="008744E1"/>
    <w:rsid w:val="00883CA6"/>
    <w:rsid w:val="00890099"/>
    <w:rsid w:val="00891090"/>
    <w:rsid w:val="008922CD"/>
    <w:rsid w:val="008A2685"/>
    <w:rsid w:val="008A3D38"/>
    <w:rsid w:val="008B46CB"/>
    <w:rsid w:val="008B4CB4"/>
    <w:rsid w:val="008C0AE5"/>
    <w:rsid w:val="008C26C9"/>
    <w:rsid w:val="008C4D0C"/>
    <w:rsid w:val="008D3AA3"/>
    <w:rsid w:val="008D73E1"/>
    <w:rsid w:val="008E0BC1"/>
    <w:rsid w:val="008F23EA"/>
    <w:rsid w:val="009008D1"/>
    <w:rsid w:val="00917A98"/>
    <w:rsid w:val="0092011C"/>
    <w:rsid w:val="00923262"/>
    <w:rsid w:val="009313B5"/>
    <w:rsid w:val="00931E87"/>
    <w:rsid w:val="0093794A"/>
    <w:rsid w:val="00942278"/>
    <w:rsid w:val="0094272A"/>
    <w:rsid w:val="00943FC9"/>
    <w:rsid w:val="00944454"/>
    <w:rsid w:val="009446F4"/>
    <w:rsid w:val="00945AC8"/>
    <w:rsid w:val="00946A74"/>
    <w:rsid w:val="00947A11"/>
    <w:rsid w:val="00951008"/>
    <w:rsid w:val="009538E9"/>
    <w:rsid w:val="00962DA2"/>
    <w:rsid w:val="009672B8"/>
    <w:rsid w:val="009722FA"/>
    <w:rsid w:val="0097569C"/>
    <w:rsid w:val="009804E1"/>
    <w:rsid w:val="009811D4"/>
    <w:rsid w:val="00990E7E"/>
    <w:rsid w:val="009A4C96"/>
    <w:rsid w:val="009B069C"/>
    <w:rsid w:val="009B0A00"/>
    <w:rsid w:val="009B3F63"/>
    <w:rsid w:val="009C49C9"/>
    <w:rsid w:val="009D5C50"/>
    <w:rsid w:val="009E6580"/>
    <w:rsid w:val="009F6093"/>
    <w:rsid w:val="00A03121"/>
    <w:rsid w:val="00A11A3B"/>
    <w:rsid w:val="00A12575"/>
    <w:rsid w:val="00A13F38"/>
    <w:rsid w:val="00A21208"/>
    <w:rsid w:val="00A21EE9"/>
    <w:rsid w:val="00A22D9C"/>
    <w:rsid w:val="00A2542B"/>
    <w:rsid w:val="00A30EF2"/>
    <w:rsid w:val="00A34997"/>
    <w:rsid w:val="00A35804"/>
    <w:rsid w:val="00A4076A"/>
    <w:rsid w:val="00A42935"/>
    <w:rsid w:val="00A43074"/>
    <w:rsid w:val="00A444C4"/>
    <w:rsid w:val="00A4599A"/>
    <w:rsid w:val="00A460F9"/>
    <w:rsid w:val="00A46908"/>
    <w:rsid w:val="00A515CE"/>
    <w:rsid w:val="00A55AED"/>
    <w:rsid w:val="00A563F0"/>
    <w:rsid w:val="00A61EC0"/>
    <w:rsid w:val="00A642D2"/>
    <w:rsid w:val="00A67B7E"/>
    <w:rsid w:val="00A71F7E"/>
    <w:rsid w:val="00A80F60"/>
    <w:rsid w:val="00A8515B"/>
    <w:rsid w:val="00A854BB"/>
    <w:rsid w:val="00A87434"/>
    <w:rsid w:val="00A8772D"/>
    <w:rsid w:val="00A91AA6"/>
    <w:rsid w:val="00A95289"/>
    <w:rsid w:val="00AA7105"/>
    <w:rsid w:val="00AC4EA0"/>
    <w:rsid w:val="00AC610C"/>
    <w:rsid w:val="00AD2882"/>
    <w:rsid w:val="00AD6245"/>
    <w:rsid w:val="00AE4F8D"/>
    <w:rsid w:val="00AF1FF9"/>
    <w:rsid w:val="00B12964"/>
    <w:rsid w:val="00B14E05"/>
    <w:rsid w:val="00B1649A"/>
    <w:rsid w:val="00B176DC"/>
    <w:rsid w:val="00B22FE7"/>
    <w:rsid w:val="00B257EE"/>
    <w:rsid w:val="00B25AD5"/>
    <w:rsid w:val="00B30F6F"/>
    <w:rsid w:val="00B35DF6"/>
    <w:rsid w:val="00B3764F"/>
    <w:rsid w:val="00B45C06"/>
    <w:rsid w:val="00B47714"/>
    <w:rsid w:val="00B651B4"/>
    <w:rsid w:val="00B65A1D"/>
    <w:rsid w:val="00B66664"/>
    <w:rsid w:val="00B702BD"/>
    <w:rsid w:val="00B75F49"/>
    <w:rsid w:val="00B8299A"/>
    <w:rsid w:val="00B86B9A"/>
    <w:rsid w:val="00B90932"/>
    <w:rsid w:val="00B90BDC"/>
    <w:rsid w:val="00BA2CFF"/>
    <w:rsid w:val="00BB3FDB"/>
    <w:rsid w:val="00BC34EC"/>
    <w:rsid w:val="00BC759C"/>
    <w:rsid w:val="00BD2D22"/>
    <w:rsid w:val="00BD4561"/>
    <w:rsid w:val="00BD5082"/>
    <w:rsid w:val="00BE7CC0"/>
    <w:rsid w:val="00BF312B"/>
    <w:rsid w:val="00C00740"/>
    <w:rsid w:val="00C05C81"/>
    <w:rsid w:val="00C17935"/>
    <w:rsid w:val="00C20A90"/>
    <w:rsid w:val="00C2133D"/>
    <w:rsid w:val="00C324C2"/>
    <w:rsid w:val="00C3715B"/>
    <w:rsid w:val="00C41387"/>
    <w:rsid w:val="00C4408A"/>
    <w:rsid w:val="00C461C6"/>
    <w:rsid w:val="00C546AA"/>
    <w:rsid w:val="00C62D68"/>
    <w:rsid w:val="00C66996"/>
    <w:rsid w:val="00C74A96"/>
    <w:rsid w:val="00C86FE5"/>
    <w:rsid w:val="00C9155C"/>
    <w:rsid w:val="00C92F81"/>
    <w:rsid w:val="00CA25BF"/>
    <w:rsid w:val="00CA40CB"/>
    <w:rsid w:val="00CB59D9"/>
    <w:rsid w:val="00CC18D3"/>
    <w:rsid w:val="00CC6679"/>
    <w:rsid w:val="00CD56BC"/>
    <w:rsid w:val="00CD59FF"/>
    <w:rsid w:val="00CD5C44"/>
    <w:rsid w:val="00CE30CD"/>
    <w:rsid w:val="00CE4027"/>
    <w:rsid w:val="00CE41CD"/>
    <w:rsid w:val="00CF0887"/>
    <w:rsid w:val="00CF5055"/>
    <w:rsid w:val="00CF5114"/>
    <w:rsid w:val="00CF578A"/>
    <w:rsid w:val="00D00040"/>
    <w:rsid w:val="00D01359"/>
    <w:rsid w:val="00D01DE1"/>
    <w:rsid w:val="00D028B6"/>
    <w:rsid w:val="00D033D1"/>
    <w:rsid w:val="00D13718"/>
    <w:rsid w:val="00D139D5"/>
    <w:rsid w:val="00D20277"/>
    <w:rsid w:val="00D241EF"/>
    <w:rsid w:val="00D33F6B"/>
    <w:rsid w:val="00D33F75"/>
    <w:rsid w:val="00D3645F"/>
    <w:rsid w:val="00D62CA1"/>
    <w:rsid w:val="00D644C4"/>
    <w:rsid w:val="00D64F9F"/>
    <w:rsid w:val="00D668C3"/>
    <w:rsid w:val="00D82064"/>
    <w:rsid w:val="00D8551C"/>
    <w:rsid w:val="00D85FAE"/>
    <w:rsid w:val="00D91F81"/>
    <w:rsid w:val="00D93A6B"/>
    <w:rsid w:val="00D97888"/>
    <w:rsid w:val="00DA0A9A"/>
    <w:rsid w:val="00DA1BA6"/>
    <w:rsid w:val="00DA2BFD"/>
    <w:rsid w:val="00DA4DFB"/>
    <w:rsid w:val="00DB09B5"/>
    <w:rsid w:val="00DC2703"/>
    <w:rsid w:val="00DC643E"/>
    <w:rsid w:val="00DD17BF"/>
    <w:rsid w:val="00DD39C1"/>
    <w:rsid w:val="00DE39A1"/>
    <w:rsid w:val="00DE52CA"/>
    <w:rsid w:val="00DE5486"/>
    <w:rsid w:val="00DE7E99"/>
    <w:rsid w:val="00DF25B0"/>
    <w:rsid w:val="00DF4AD0"/>
    <w:rsid w:val="00E04625"/>
    <w:rsid w:val="00E073B0"/>
    <w:rsid w:val="00E113B7"/>
    <w:rsid w:val="00E15095"/>
    <w:rsid w:val="00E17FFC"/>
    <w:rsid w:val="00E24BDC"/>
    <w:rsid w:val="00E30EB8"/>
    <w:rsid w:val="00E30EF7"/>
    <w:rsid w:val="00E32045"/>
    <w:rsid w:val="00E3523B"/>
    <w:rsid w:val="00E4226C"/>
    <w:rsid w:val="00E443B0"/>
    <w:rsid w:val="00E55635"/>
    <w:rsid w:val="00E63B44"/>
    <w:rsid w:val="00E73A04"/>
    <w:rsid w:val="00E742F3"/>
    <w:rsid w:val="00E74572"/>
    <w:rsid w:val="00E7568F"/>
    <w:rsid w:val="00E810DF"/>
    <w:rsid w:val="00E82CB6"/>
    <w:rsid w:val="00E842DF"/>
    <w:rsid w:val="00E8568A"/>
    <w:rsid w:val="00E8638C"/>
    <w:rsid w:val="00E94F49"/>
    <w:rsid w:val="00E95FF2"/>
    <w:rsid w:val="00EB0A95"/>
    <w:rsid w:val="00EB3EC7"/>
    <w:rsid w:val="00EB7338"/>
    <w:rsid w:val="00ED0AD9"/>
    <w:rsid w:val="00ED4CCA"/>
    <w:rsid w:val="00ED6F24"/>
    <w:rsid w:val="00EE0C9D"/>
    <w:rsid w:val="00EE22A8"/>
    <w:rsid w:val="00F05F89"/>
    <w:rsid w:val="00F107AE"/>
    <w:rsid w:val="00F10D15"/>
    <w:rsid w:val="00F128E9"/>
    <w:rsid w:val="00F1727C"/>
    <w:rsid w:val="00F2010A"/>
    <w:rsid w:val="00F24918"/>
    <w:rsid w:val="00F266CE"/>
    <w:rsid w:val="00F36526"/>
    <w:rsid w:val="00F378DD"/>
    <w:rsid w:val="00F40031"/>
    <w:rsid w:val="00F44EE2"/>
    <w:rsid w:val="00F477C6"/>
    <w:rsid w:val="00F55E6F"/>
    <w:rsid w:val="00F61604"/>
    <w:rsid w:val="00F63D5C"/>
    <w:rsid w:val="00F70F0F"/>
    <w:rsid w:val="00F73401"/>
    <w:rsid w:val="00F923EE"/>
    <w:rsid w:val="00F93709"/>
    <w:rsid w:val="00FA3F5E"/>
    <w:rsid w:val="00FA5CC5"/>
    <w:rsid w:val="00FA6AF8"/>
    <w:rsid w:val="00FC1BBD"/>
    <w:rsid w:val="00FD7547"/>
    <w:rsid w:val="00FE1334"/>
    <w:rsid w:val="00FE2F84"/>
    <w:rsid w:val="00FE3C68"/>
    <w:rsid w:val="00FE44FF"/>
    <w:rsid w:val="021F2F40"/>
    <w:rsid w:val="152A7D03"/>
    <w:rsid w:val="169F54E3"/>
    <w:rsid w:val="1F9D7706"/>
    <w:rsid w:val="21D63184"/>
    <w:rsid w:val="31D4033F"/>
    <w:rsid w:val="3AFA3F35"/>
    <w:rsid w:val="415E499C"/>
    <w:rsid w:val="454E3C75"/>
    <w:rsid w:val="48DD7F98"/>
    <w:rsid w:val="4DDC192B"/>
    <w:rsid w:val="501B6C1B"/>
    <w:rsid w:val="52744AD4"/>
    <w:rsid w:val="55BC0303"/>
    <w:rsid w:val="5D696DFB"/>
    <w:rsid w:val="5DDE46F6"/>
    <w:rsid w:val="5DE15444"/>
    <w:rsid w:val="64EE1B6E"/>
    <w:rsid w:val="6A2D3838"/>
    <w:rsid w:val="6BDE46D1"/>
    <w:rsid w:val="77E74A3F"/>
    <w:rsid w:val="79B94E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3935F6D4"/>
  <w15:docId w15:val="{06ADC863-BDF6-4037-95B6-8E44B35FF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qFormat="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ind w:firstLineChars="200" w:firstLine="200"/>
      <w:jc w:val="both"/>
    </w:pPr>
    <w:rPr>
      <w:kern w:val="2"/>
      <w:sz w:val="28"/>
      <w:szCs w:val="24"/>
    </w:rPr>
  </w:style>
  <w:style w:type="paragraph" w:styleId="1">
    <w:name w:val="heading 1"/>
    <w:basedOn w:val="a"/>
    <w:next w:val="a"/>
    <w:link w:val="10"/>
    <w:qFormat/>
    <w:pPr>
      <w:keepNext/>
      <w:keepLines/>
      <w:spacing w:before="120" w:after="120"/>
      <w:ind w:firstLineChars="0" w:firstLine="0"/>
      <w:outlineLvl w:val="0"/>
    </w:pPr>
    <w:rPr>
      <w:rFonts w:eastAsia="黑体"/>
      <w:b/>
      <w:bCs/>
      <w:kern w:val="44"/>
      <w:sz w:val="32"/>
      <w:szCs w:val="44"/>
    </w:rPr>
  </w:style>
  <w:style w:type="paragraph" w:styleId="2">
    <w:name w:val="heading 2"/>
    <w:basedOn w:val="a"/>
    <w:next w:val="a"/>
    <w:qFormat/>
    <w:pPr>
      <w:keepNext/>
      <w:keepLines/>
      <w:spacing w:line="360" w:lineRule="auto"/>
      <w:ind w:firstLineChars="0" w:firstLine="0"/>
      <w:outlineLvl w:val="1"/>
    </w:pPr>
    <w:rPr>
      <w:rFonts w:ascii="Cambria" w:eastAsia="黑体" w:hAnsi="Cambria"/>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afterLines="50"/>
      <w:jc w:val="center"/>
    </w:pPr>
    <w:rPr>
      <w:rFonts w:ascii="Calibri" w:eastAsia="黑体" w:hAnsi="Calibri" w:cs="Arial"/>
      <w:sz w:val="24"/>
      <w:szCs w:val="20"/>
    </w:rPr>
  </w:style>
  <w:style w:type="paragraph" w:styleId="a4">
    <w:name w:val="Document Map"/>
    <w:basedOn w:val="a"/>
    <w:qFormat/>
    <w:pPr>
      <w:shd w:val="clear" w:color="auto" w:fill="000080"/>
    </w:pPr>
  </w:style>
  <w:style w:type="paragraph" w:styleId="a5">
    <w:name w:val="Body Text Indent"/>
    <w:basedOn w:val="a"/>
    <w:qFormat/>
    <w:pPr>
      <w:spacing w:line="360" w:lineRule="auto"/>
      <w:ind w:left="360" w:firstLineChars="175" w:firstLine="175"/>
    </w:pPr>
    <w:rPr>
      <w:sz w:val="24"/>
    </w:rPr>
  </w:style>
  <w:style w:type="paragraph" w:styleId="20">
    <w:name w:val="Body Text Indent 2"/>
    <w:basedOn w:val="a"/>
    <w:qFormat/>
    <w:rPr>
      <w:sz w:val="24"/>
      <w:szCs w:val="18"/>
    </w:rPr>
  </w:style>
  <w:style w:type="paragraph" w:styleId="a6">
    <w:name w:val="Balloon Text"/>
    <w:basedOn w:val="a"/>
    <w:qFormat/>
    <w:rPr>
      <w:sz w:val="18"/>
      <w:szCs w:val="18"/>
    </w:rPr>
  </w:style>
  <w:style w:type="paragraph" w:styleId="a7">
    <w:name w:val="footer"/>
    <w:basedOn w:val="a"/>
    <w:pPr>
      <w:tabs>
        <w:tab w:val="center" w:pos="4153"/>
        <w:tab w:val="right" w:pos="8306"/>
      </w:tabs>
      <w:snapToGrid w:val="0"/>
      <w:jc w:val="left"/>
    </w:pPr>
    <w:rPr>
      <w:sz w:val="18"/>
      <w:szCs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style>
  <w:style w:type="paragraph" w:styleId="a9">
    <w:name w:val="Subtitle"/>
    <w:basedOn w:val="a"/>
    <w:next w:val="a"/>
    <w:qFormat/>
    <w:pPr>
      <w:spacing w:line="360" w:lineRule="auto"/>
      <w:ind w:firstLineChars="0" w:firstLine="0"/>
      <w:jc w:val="left"/>
    </w:pPr>
    <w:rPr>
      <w:rFonts w:ascii="Cambria" w:hAnsi="Cambria"/>
      <w:bCs/>
      <w:kern w:val="28"/>
      <w:szCs w:val="32"/>
    </w:rPr>
  </w:style>
  <w:style w:type="paragraph" w:styleId="TOC2">
    <w:name w:val="toc 2"/>
    <w:basedOn w:val="a"/>
    <w:next w:val="a"/>
    <w:uiPriority w:val="39"/>
    <w:unhideWhenUsed/>
    <w:pPr>
      <w:ind w:leftChars="200" w:left="420"/>
    </w:pPr>
  </w:style>
  <w:style w:type="paragraph" w:styleId="aa">
    <w:name w:val="Normal (Web)"/>
    <w:basedOn w:val="a"/>
    <w:pPr>
      <w:widowControl/>
      <w:spacing w:before="100" w:beforeAutospacing="1" w:after="100" w:afterAutospacing="1"/>
      <w:jc w:val="left"/>
    </w:pPr>
    <w:rPr>
      <w:rFonts w:ascii="宋体"/>
      <w:kern w:val="0"/>
      <w:sz w:val="24"/>
    </w:rPr>
  </w:style>
  <w:style w:type="paragraph" w:styleId="ab">
    <w:name w:val="Title"/>
    <w:basedOn w:val="a"/>
    <w:qFormat/>
    <w:pPr>
      <w:spacing w:before="240" w:after="60"/>
      <w:jc w:val="center"/>
      <w:outlineLvl w:val="0"/>
    </w:pPr>
    <w:rPr>
      <w:rFonts w:ascii="Arial" w:hAnsi="Arial" w:cs="Arial"/>
      <w:b/>
      <w:bCs/>
      <w:sz w:val="32"/>
      <w:szCs w:val="32"/>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0"/>
    <w:qFormat/>
  </w:style>
  <w:style w:type="character" w:styleId="ae">
    <w:name w:val="Hyperlink"/>
    <w:basedOn w:val="a0"/>
    <w:uiPriority w:val="99"/>
    <w:unhideWhenUsed/>
    <w:qFormat/>
    <w:rPr>
      <w:color w:val="0000FF" w:themeColor="hyperlink"/>
      <w:u w:val="single"/>
    </w:rPr>
  </w:style>
  <w:style w:type="character" w:customStyle="1" w:styleId="Char">
    <w:name w:val="段 Char"/>
    <w:link w:val="af"/>
    <w:qFormat/>
    <w:rPr>
      <w:rFonts w:ascii="宋体" w:eastAsia="宋体"/>
      <w:sz w:val="21"/>
      <w:lang w:val="en-US" w:eastAsia="zh-CN" w:bidi="ar-SA"/>
    </w:rPr>
  </w:style>
  <w:style w:type="paragraph" w:customStyle="1" w:styleId="af">
    <w:name w:val="段"/>
    <w:link w:val="Char"/>
    <w:qFormat/>
    <w:pPr>
      <w:autoSpaceDE w:val="0"/>
      <w:autoSpaceDN w:val="0"/>
      <w:ind w:firstLineChars="200" w:firstLine="200"/>
      <w:jc w:val="both"/>
    </w:pPr>
    <w:rPr>
      <w:rFonts w:ascii="宋体"/>
      <w:sz w:val="21"/>
    </w:rPr>
  </w:style>
  <w:style w:type="paragraph" w:customStyle="1" w:styleId="af0">
    <w:name w:val="前言、引言标题"/>
    <w:next w:val="a"/>
    <w:pPr>
      <w:shd w:val="clear" w:color="FFFFFF" w:fill="FFFFFF"/>
      <w:tabs>
        <w:tab w:val="left" w:pos="0"/>
      </w:tabs>
      <w:spacing w:before="640" w:after="560"/>
      <w:jc w:val="center"/>
      <w:outlineLvl w:val="0"/>
    </w:pPr>
    <w:rPr>
      <w:rFonts w:ascii="黑体" w:eastAsia="黑体"/>
      <w:sz w:val="32"/>
    </w:rPr>
  </w:style>
  <w:style w:type="paragraph" w:customStyle="1" w:styleId="af1">
    <w:name w:val="章标题"/>
    <w:next w:val="a"/>
    <w:pPr>
      <w:tabs>
        <w:tab w:val="left" w:pos="0"/>
      </w:tabs>
      <w:spacing w:beforeLines="50" w:afterLines="50"/>
      <w:jc w:val="both"/>
      <w:outlineLvl w:val="1"/>
    </w:pPr>
    <w:rPr>
      <w:rFonts w:ascii="黑体" w:eastAsia="黑体"/>
      <w:sz w:val="21"/>
    </w:rPr>
  </w:style>
  <w:style w:type="paragraph" w:customStyle="1" w:styleId="af2">
    <w:name w:val="正文表标题"/>
    <w:next w:val="af"/>
    <w:pPr>
      <w:tabs>
        <w:tab w:val="left" w:pos="360"/>
      </w:tabs>
      <w:spacing w:beforeLines="50" w:afterLines="50"/>
      <w:jc w:val="center"/>
    </w:pPr>
    <w:rPr>
      <w:rFonts w:ascii="黑体" w:eastAsia="黑体"/>
      <w:sz w:val="21"/>
    </w:rPr>
  </w:style>
  <w:style w:type="paragraph" w:styleId="af3">
    <w:name w:val="List Paragraph"/>
    <w:basedOn w:val="a"/>
    <w:qFormat/>
  </w:style>
  <w:style w:type="paragraph" w:customStyle="1" w:styleId="af4">
    <w:name w:val="五级条标题"/>
    <w:basedOn w:val="af5"/>
    <w:next w:val="a"/>
    <w:qFormat/>
    <w:pPr>
      <w:outlineLvl w:val="6"/>
    </w:pPr>
  </w:style>
  <w:style w:type="paragraph" w:customStyle="1" w:styleId="af5">
    <w:name w:val="四级条标题"/>
    <w:basedOn w:val="af6"/>
    <w:next w:val="a"/>
    <w:qFormat/>
    <w:pPr>
      <w:outlineLvl w:val="5"/>
    </w:pPr>
  </w:style>
  <w:style w:type="paragraph" w:customStyle="1" w:styleId="af6">
    <w:name w:val="三级条标题"/>
    <w:basedOn w:val="af7"/>
    <w:next w:val="a"/>
    <w:qFormat/>
    <w:pPr>
      <w:tabs>
        <w:tab w:val="left" w:pos="360"/>
      </w:tabs>
      <w:outlineLvl w:val="4"/>
    </w:pPr>
  </w:style>
  <w:style w:type="paragraph" w:customStyle="1" w:styleId="af7">
    <w:name w:val="二级条标题"/>
    <w:basedOn w:val="af8"/>
    <w:next w:val="a"/>
    <w:qFormat/>
    <w:pPr>
      <w:outlineLvl w:val="3"/>
    </w:pPr>
  </w:style>
  <w:style w:type="paragraph" w:customStyle="1" w:styleId="af8">
    <w:name w:val="一级条标题"/>
    <w:basedOn w:val="af1"/>
    <w:next w:val="a"/>
    <w:qFormat/>
    <w:pPr>
      <w:spacing w:beforeLines="0" w:afterLines="0"/>
      <w:outlineLvl w:val="2"/>
    </w:pPr>
  </w:style>
  <w:style w:type="paragraph" w:customStyle="1" w:styleId="af9">
    <w:name w:val="标准书眉_偶数页"/>
    <w:basedOn w:val="a"/>
    <w:next w:val="a"/>
    <w:qFormat/>
    <w:pPr>
      <w:widowControl/>
      <w:tabs>
        <w:tab w:val="center" w:pos="4154"/>
        <w:tab w:val="right" w:pos="8306"/>
      </w:tabs>
      <w:spacing w:after="120"/>
      <w:jc w:val="left"/>
    </w:pPr>
    <w:rPr>
      <w:kern w:val="0"/>
      <w:szCs w:val="20"/>
    </w:rPr>
  </w:style>
  <w:style w:type="paragraph" w:customStyle="1" w:styleId="Char0">
    <w:name w:val="Char"/>
    <w:basedOn w:val="a"/>
    <w:qFormat/>
    <w:rPr>
      <w:rFonts w:ascii="Tahoma" w:hAnsi="Tahoma"/>
      <w:sz w:val="24"/>
      <w:szCs w:val="20"/>
    </w:rPr>
  </w:style>
  <w:style w:type="character" w:customStyle="1" w:styleId="10">
    <w:name w:val="标题 1 字符"/>
    <w:link w:val="1"/>
    <w:qFormat/>
    <w:rPr>
      <w:rFonts w:eastAsia="黑体"/>
      <w:b/>
      <w:bCs/>
      <w:kern w:val="44"/>
      <w:sz w:val="32"/>
      <w:szCs w:val="44"/>
    </w:rPr>
  </w:style>
  <w:style w:type="paragraph" w:customStyle="1" w:styleId="TOC10">
    <w:name w:val="TOC 标题1"/>
    <w:basedOn w:val="1"/>
    <w:next w:val="a"/>
    <w:uiPriority w:val="39"/>
    <w:semiHidden/>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hart" Target="charts/chart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chart" Target="charts/chart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hart" Target="charts/chart1.xml"/><Relationship Id="rId23" Type="http://schemas.openxmlformats.org/officeDocument/2006/relationships/image" Target="media/image6.emf"/><Relationship Id="rId10" Type="http://schemas.openxmlformats.org/officeDocument/2006/relationships/header" Target="header2.xm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5.emf"/></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0" i="0" u="none" strike="noStrike" kern="1200" baseline="0">
                <a:solidFill>
                  <a:schemeClr val="tx1"/>
                </a:solidFill>
                <a:latin typeface="+mn-lt"/>
                <a:ea typeface="+mn-ea"/>
                <a:cs typeface="+mn-cs"/>
              </a:defRPr>
            </a:pPr>
            <a:r>
              <a:rPr lang="zh-CN" altLang="en-US" sz="1000" b="0"/>
              <a:t>℃</a:t>
            </a:r>
          </a:p>
        </c:rich>
      </c:tx>
      <c:layout>
        <c:manualLayout>
          <c:xMode val="edge"/>
          <c:yMode val="edge"/>
          <c:x val="0.897724712462311"/>
          <c:y val="0.82762996656413002"/>
        </c:manualLayout>
      </c:layout>
      <c:overlay val="0"/>
    </c:title>
    <c:autoTitleDeleted val="0"/>
    <c:plotArea>
      <c:layout>
        <c:manualLayout>
          <c:layoutTarget val="inner"/>
          <c:xMode val="edge"/>
          <c:yMode val="edge"/>
          <c:x val="9.3502059169815799E-2"/>
          <c:y val="0.113860926013043"/>
          <c:w val="0.78172827354914198"/>
          <c:h val="0.70244688163979596"/>
        </c:manualLayout>
      </c:layout>
      <c:scatterChart>
        <c:scatterStyle val="smoothMarker"/>
        <c:varyColors val="0"/>
        <c:ser>
          <c:idx val="0"/>
          <c:order val="0"/>
          <c:tx>
            <c:strRef>
              <c:f>Sheet1!$B$1</c:f>
              <c:strCache>
                <c:ptCount val="1"/>
                <c:pt idx="0">
                  <c:v>Y 值</c:v>
                </c:pt>
              </c:strCache>
            </c:strRef>
          </c:tx>
          <c:xVal>
            <c:numRef>
              <c:f>Sheet1!$A$2:$A$9</c:f>
              <c:numCache>
                <c:formatCode>General</c:formatCode>
                <c:ptCount val="8"/>
                <c:pt idx="0">
                  <c:v>50</c:v>
                </c:pt>
                <c:pt idx="1">
                  <c:v>60</c:v>
                </c:pt>
                <c:pt idx="2">
                  <c:v>70</c:v>
                </c:pt>
                <c:pt idx="3">
                  <c:v>80</c:v>
                </c:pt>
                <c:pt idx="4">
                  <c:v>90</c:v>
                </c:pt>
                <c:pt idx="5">
                  <c:v>100</c:v>
                </c:pt>
                <c:pt idx="6">
                  <c:v>110</c:v>
                </c:pt>
                <c:pt idx="7">
                  <c:v>120</c:v>
                </c:pt>
              </c:numCache>
            </c:numRef>
          </c:xVal>
          <c:yVal>
            <c:numRef>
              <c:f>Sheet1!$B$2:$B$9</c:f>
              <c:numCache>
                <c:formatCode>General</c:formatCode>
                <c:ptCount val="8"/>
                <c:pt idx="0">
                  <c:v>1061.08</c:v>
                </c:pt>
                <c:pt idx="1">
                  <c:v>1081.78</c:v>
                </c:pt>
                <c:pt idx="2">
                  <c:v>1040.8399999999999</c:v>
                </c:pt>
                <c:pt idx="3">
                  <c:v>1008.12</c:v>
                </c:pt>
                <c:pt idx="4">
                  <c:v>919.4</c:v>
                </c:pt>
                <c:pt idx="5">
                  <c:v>733.22</c:v>
                </c:pt>
                <c:pt idx="6">
                  <c:v>537.49</c:v>
                </c:pt>
                <c:pt idx="7">
                  <c:v>369.65</c:v>
                </c:pt>
              </c:numCache>
            </c:numRef>
          </c:yVal>
          <c:smooth val="1"/>
          <c:extLst>
            <c:ext xmlns:c16="http://schemas.microsoft.com/office/drawing/2014/chart" uri="{C3380CC4-5D6E-409C-BE32-E72D297353CC}">
              <c16:uniqueId val="{00000000-0B25-446A-AE47-58BBAA5B1F91}"/>
            </c:ext>
          </c:extLst>
        </c:ser>
        <c:dLbls>
          <c:showLegendKey val="0"/>
          <c:showVal val="0"/>
          <c:showCatName val="0"/>
          <c:showSerName val="0"/>
          <c:showPercent val="0"/>
          <c:showBubbleSize val="0"/>
        </c:dLbls>
        <c:axId val="324248320"/>
        <c:axId val="324571904"/>
      </c:scatterChart>
      <c:valAx>
        <c:axId val="324248320"/>
        <c:scaling>
          <c:orientation val="minMax"/>
          <c:min val="50"/>
        </c:scaling>
        <c:delete val="0"/>
        <c:axPos val="b"/>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324571904"/>
        <c:crosses val="autoZero"/>
        <c:crossBetween val="midCat"/>
      </c:valAx>
      <c:valAx>
        <c:axId val="324571904"/>
        <c:scaling>
          <c:orientation val="minMax"/>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324248320"/>
        <c:crossesAt val="50"/>
        <c:crossBetween val="midCat"/>
      </c:valAx>
      <c:spPr>
        <a:noFill/>
        <a:ln w="25400">
          <a:noFill/>
        </a:ln>
      </c:spPr>
    </c:plotArea>
    <c:plotVisOnly val="1"/>
    <c:dispBlanksAs val="gap"/>
    <c:showDLblsOverMax val="0"/>
  </c:chart>
  <c:spPr>
    <a:ln w="9525" cap="flat" cmpd="sng" algn="ctr">
      <a:noFill/>
      <a:prstDash val="solid"/>
      <a:round/>
    </a:ln>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000" b="0"/>
              <a:t>峰面积</a:t>
            </a:r>
          </a:p>
        </c:rich>
      </c:tx>
      <c:layout>
        <c:manualLayout>
          <c:xMode val="edge"/>
          <c:yMode val="edge"/>
          <c:x val="2.4305555555555601E-2"/>
          <c:y val="2.3809523809523801E-2"/>
        </c:manualLayout>
      </c:layout>
      <c:overlay val="0"/>
    </c:title>
    <c:autoTitleDeleted val="0"/>
    <c:plotArea>
      <c:layout>
        <c:manualLayout>
          <c:layoutTarget val="inner"/>
          <c:xMode val="edge"/>
          <c:yMode val="edge"/>
          <c:x val="9.3879228638087106E-2"/>
          <c:y val="0.131359205099363"/>
          <c:w val="0.77741123505395204"/>
          <c:h val="0.73974846894138302"/>
        </c:manualLayout>
      </c:layout>
      <c:scatterChart>
        <c:scatterStyle val="smoothMarker"/>
        <c:varyColors val="0"/>
        <c:ser>
          <c:idx val="0"/>
          <c:order val="0"/>
          <c:tx>
            <c:strRef>
              <c:f>Sheet1!$B$1</c:f>
              <c:strCache>
                <c:ptCount val="1"/>
                <c:pt idx="0">
                  <c:v>Y 值</c:v>
                </c:pt>
              </c:strCache>
            </c:strRef>
          </c:tx>
          <c:xVal>
            <c:numRef>
              <c:f>Sheet1!$A$2:$A$10</c:f>
              <c:numCache>
                <c:formatCode>General</c:formatCode>
                <c:ptCount val="9"/>
                <c:pt idx="0">
                  <c:v>190</c:v>
                </c:pt>
                <c:pt idx="1">
                  <c:v>200</c:v>
                </c:pt>
                <c:pt idx="2">
                  <c:v>210</c:v>
                </c:pt>
                <c:pt idx="3">
                  <c:v>220</c:v>
                </c:pt>
                <c:pt idx="4">
                  <c:v>230</c:v>
                </c:pt>
                <c:pt idx="5">
                  <c:v>240</c:v>
                </c:pt>
                <c:pt idx="6">
                  <c:v>250</c:v>
                </c:pt>
                <c:pt idx="7">
                  <c:v>260</c:v>
                </c:pt>
                <c:pt idx="8">
                  <c:v>270</c:v>
                </c:pt>
              </c:numCache>
            </c:numRef>
          </c:xVal>
          <c:yVal>
            <c:numRef>
              <c:f>Sheet1!$B$2:$B$10</c:f>
              <c:numCache>
                <c:formatCode>General</c:formatCode>
                <c:ptCount val="9"/>
                <c:pt idx="0">
                  <c:v>857.9</c:v>
                </c:pt>
                <c:pt idx="1">
                  <c:v>988.37</c:v>
                </c:pt>
                <c:pt idx="2">
                  <c:v>1066.95</c:v>
                </c:pt>
                <c:pt idx="3">
                  <c:v>1110.44</c:v>
                </c:pt>
                <c:pt idx="4">
                  <c:v>1151.51</c:v>
                </c:pt>
                <c:pt idx="5">
                  <c:v>1198.17</c:v>
                </c:pt>
                <c:pt idx="6">
                  <c:v>1206.32</c:v>
                </c:pt>
                <c:pt idx="7">
                  <c:v>1203.9000000000001</c:v>
                </c:pt>
                <c:pt idx="8">
                  <c:v>1212.8</c:v>
                </c:pt>
              </c:numCache>
            </c:numRef>
          </c:yVal>
          <c:smooth val="1"/>
          <c:extLst>
            <c:ext xmlns:c16="http://schemas.microsoft.com/office/drawing/2014/chart" uri="{C3380CC4-5D6E-409C-BE32-E72D297353CC}">
              <c16:uniqueId val="{00000000-76C2-4D9E-828A-B6837FDFF529}"/>
            </c:ext>
          </c:extLst>
        </c:ser>
        <c:dLbls>
          <c:showLegendKey val="0"/>
          <c:showVal val="0"/>
          <c:showCatName val="0"/>
          <c:showSerName val="0"/>
          <c:showPercent val="0"/>
          <c:showBubbleSize val="0"/>
        </c:dLbls>
        <c:axId val="334912128"/>
        <c:axId val="335426688"/>
      </c:scatterChart>
      <c:valAx>
        <c:axId val="334912128"/>
        <c:scaling>
          <c:orientation val="minMax"/>
          <c:min val="190"/>
        </c:scaling>
        <c:delete val="0"/>
        <c:axPos val="b"/>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335426688"/>
        <c:crosses val="autoZero"/>
        <c:crossBetween val="midCat"/>
      </c:valAx>
      <c:valAx>
        <c:axId val="335426688"/>
        <c:scaling>
          <c:orientation val="minMax"/>
          <c:min val="700"/>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334912128"/>
        <c:crossesAt val="190"/>
        <c:crossBetween val="midCat"/>
      </c:valAx>
    </c:plotArea>
    <c:plotVisOnly val="1"/>
    <c:dispBlanksAs val="gap"/>
    <c:showDLblsOverMax val="0"/>
  </c:chart>
  <c:spPr>
    <a:noFill/>
    <a:ln w="9525" cap="flat" cmpd="sng" algn="ctr">
      <a:noFill/>
      <a:prstDash val="solid"/>
      <a:round/>
    </a:ln>
  </c:spPr>
  <c:txPr>
    <a:bodyPr/>
    <a:lstStyle/>
    <a:p>
      <a:pPr>
        <a:defRPr lang="zh-CN"/>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5453302712161"/>
          <c:y val="0.17262904636920401"/>
          <c:w val="0.81568678915135495"/>
          <c:h val="0.67863735783027201"/>
        </c:manualLayout>
      </c:layout>
      <c:scatterChart>
        <c:scatterStyle val="smoothMarker"/>
        <c:varyColors val="0"/>
        <c:ser>
          <c:idx val="0"/>
          <c:order val="0"/>
          <c:tx>
            <c:strRef>
              <c:f>Sheet1!$B$1</c:f>
              <c:strCache>
                <c:ptCount val="1"/>
                <c:pt idx="0">
                  <c:v>峰面积</c:v>
                </c:pt>
              </c:strCache>
            </c:strRef>
          </c:tx>
          <c:xVal>
            <c:numRef>
              <c:f>Sheet1!$A$2:$A$12</c:f>
              <c:numCache>
                <c:formatCode>General</c:formatCode>
                <c:ptCount val="11"/>
                <c:pt idx="0">
                  <c:v>0</c:v>
                </c:pt>
                <c:pt idx="1">
                  <c:v>1.5</c:v>
                </c:pt>
                <c:pt idx="2">
                  <c:v>3</c:v>
                </c:pt>
                <c:pt idx="3">
                  <c:v>4.5</c:v>
                </c:pt>
                <c:pt idx="4">
                  <c:v>6</c:v>
                </c:pt>
                <c:pt idx="5">
                  <c:v>7.5</c:v>
                </c:pt>
                <c:pt idx="6">
                  <c:v>9</c:v>
                </c:pt>
                <c:pt idx="7">
                  <c:v>10.5</c:v>
                </c:pt>
                <c:pt idx="8">
                  <c:v>12</c:v>
                </c:pt>
              </c:numCache>
            </c:numRef>
          </c:xVal>
          <c:yVal>
            <c:numRef>
              <c:f>Sheet1!$B$2:$B$12</c:f>
              <c:numCache>
                <c:formatCode>General</c:formatCode>
                <c:ptCount val="11"/>
                <c:pt idx="0">
                  <c:v>1019.62</c:v>
                </c:pt>
                <c:pt idx="1">
                  <c:v>924.270000000001</c:v>
                </c:pt>
                <c:pt idx="2">
                  <c:v>802.94999999999902</c:v>
                </c:pt>
                <c:pt idx="3">
                  <c:v>679.93</c:v>
                </c:pt>
                <c:pt idx="4">
                  <c:v>614.55999999999904</c:v>
                </c:pt>
                <c:pt idx="5">
                  <c:v>531.1</c:v>
                </c:pt>
                <c:pt idx="6">
                  <c:v>462.61</c:v>
                </c:pt>
                <c:pt idx="7">
                  <c:v>393.65</c:v>
                </c:pt>
                <c:pt idx="8">
                  <c:v>347.27</c:v>
                </c:pt>
              </c:numCache>
            </c:numRef>
          </c:yVal>
          <c:smooth val="1"/>
          <c:extLst>
            <c:ext xmlns:c16="http://schemas.microsoft.com/office/drawing/2014/chart" uri="{C3380CC4-5D6E-409C-BE32-E72D297353CC}">
              <c16:uniqueId val="{00000000-F3BB-43AF-8D65-DED7F81894F3}"/>
            </c:ext>
          </c:extLst>
        </c:ser>
        <c:dLbls>
          <c:showLegendKey val="0"/>
          <c:showVal val="0"/>
          <c:showCatName val="0"/>
          <c:showSerName val="0"/>
          <c:showPercent val="0"/>
          <c:showBubbleSize val="0"/>
        </c:dLbls>
        <c:axId val="358376576"/>
        <c:axId val="358378112"/>
      </c:scatterChart>
      <c:valAx>
        <c:axId val="358376576"/>
        <c:scaling>
          <c:orientation val="minMax"/>
        </c:scaling>
        <c:delete val="0"/>
        <c:axPos val="b"/>
        <c:title>
          <c:tx>
            <c:rich>
              <a:bodyPr rot="0" spcFirstLastPara="0" vertOverflow="ellipsis" vert="horz" wrap="square" anchor="ctr" anchorCtr="1"/>
              <a:lstStyle/>
              <a:p>
                <a:pPr defTabSz="914400">
                  <a:defRPr lang="zh-CN" sz="1000" b="1" i="0" u="none" strike="noStrike" kern="1200" baseline="0">
                    <a:solidFill>
                      <a:schemeClr val="tx1"/>
                    </a:solidFill>
                    <a:latin typeface="+mn-lt"/>
                    <a:ea typeface="+mn-ea"/>
                    <a:cs typeface="+mn-cs"/>
                  </a:defRPr>
                </a:pPr>
                <a:r>
                  <a:rPr lang="zh-CN" altLang="en-US"/>
                  <a:t>时间</a:t>
                </a:r>
                <a:r>
                  <a:rPr lang="en-US" altLang="zh-CN"/>
                  <a:t>/h</a:t>
                </a:r>
              </a:p>
            </c:rich>
          </c:tx>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358378112"/>
        <c:crosses val="autoZero"/>
        <c:crossBetween val="midCat"/>
      </c:valAx>
      <c:valAx>
        <c:axId val="358378112"/>
        <c:scaling>
          <c:orientation val="minMax"/>
        </c:scaling>
        <c:delete val="0"/>
        <c:axPos val="l"/>
        <c:title>
          <c:tx>
            <c:rich>
              <a:bodyPr rot="-5400000" spcFirstLastPara="0" vertOverflow="ellipsis" vert="horz" wrap="square" anchor="ctr" anchorCtr="1"/>
              <a:lstStyle/>
              <a:p>
                <a:pPr defTabSz="914400">
                  <a:defRPr lang="zh-CN" sz="1000" b="1" i="0" u="none" strike="noStrike" kern="1200" baseline="0">
                    <a:solidFill>
                      <a:schemeClr val="tx1"/>
                    </a:solidFill>
                    <a:latin typeface="+mn-lt"/>
                    <a:ea typeface="+mn-ea"/>
                    <a:cs typeface="+mn-cs"/>
                  </a:defRPr>
                </a:pPr>
                <a:r>
                  <a:rPr lang="zh-CN" altLang="en-US"/>
                  <a:t>峰面积</a:t>
                </a:r>
              </a:p>
            </c:rich>
          </c:tx>
          <c:layout>
            <c:manualLayout>
              <c:xMode val="edge"/>
              <c:yMode val="edge"/>
              <c:x val="3.4722222222222199E-3"/>
              <c:y val="0.40371359830021297"/>
            </c:manualLayout>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358376576"/>
        <c:crosses val="autoZero"/>
        <c:crossBetween val="midCat"/>
      </c:valAx>
    </c:plotArea>
    <c:plotVisOnly val="1"/>
    <c:dispBlanksAs val="gap"/>
    <c:showDLblsOverMax val="0"/>
  </c:chart>
  <c:spPr>
    <a:ln w="9525" cap="flat" cmpd="sng" algn="ctr">
      <a:noFill/>
      <a:prstDash val="solid"/>
      <a:round/>
    </a:ln>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5C6E78-5FE5-4AC4-8F91-DDCDE494C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22</Pages>
  <Words>5381</Words>
  <Characters>6027</Characters>
  <Application>Microsoft Office Word</Application>
  <DocSecurity>0</DocSecurity>
  <Lines>1205</Lines>
  <Paragraphs>1037</Paragraphs>
  <ScaleCrop>false</ScaleCrop>
  <Company>china</Company>
  <LinksUpToDate>false</LinksUpToDate>
  <CharactersWithSpaces>10371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山东省地方标准</dc:title>
  <dc:creator>yyy</dc:creator>
  <cp:lastModifiedBy>Yangyi</cp:lastModifiedBy>
  <cp:revision>6</cp:revision>
  <cp:lastPrinted>2017-03-27T01:34:00Z</cp:lastPrinted>
  <dcterms:created xsi:type="dcterms:W3CDTF">2019-10-30T01:58:00Z</dcterms:created>
  <dcterms:modified xsi:type="dcterms:W3CDTF">2020-07-09T02:42:00Z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